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B95" w14:textId="77777777" w:rsidR="002B7C49" w:rsidRPr="002B7C49" w:rsidRDefault="002B7C49" w:rsidP="002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CD19BE" w14:textId="79980D0C" w:rsidR="002B7C49" w:rsidRPr="002B7C49" w:rsidRDefault="002B7C49" w:rsidP="002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C4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9A2E72" wp14:editId="07B9AFC0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18D53" w14:textId="77777777" w:rsidR="002B7C49" w:rsidRPr="002B7C49" w:rsidRDefault="002B7C49" w:rsidP="002B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B7C49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0779A5F" w14:textId="77777777" w:rsidR="002B7C49" w:rsidRPr="002B7C49" w:rsidRDefault="002B7C49" w:rsidP="002B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2B7C49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769F398" w14:textId="77777777" w:rsidR="002B7C49" w:rsidRPr="002B7C49" w:rsidRDefault="002B7C49" w:rsidP="002B7C4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6B2FA31" w14:textId="77777777" w:rsidR="002B7C49" w:rsidRPr="002B7C49" w:rsidRDefault="002B7C49" w:rsidP="002B7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2B7C49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B34F9E7" w14:textId="3F2A2B44" w:rsidR="002B7C49" w:rsidRPr="002B7C49" w:rsidRDefault="00632F33" w:rsidP="002B7C4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F33">
        <w:rPr>
          <w:rFonts w:ascii="Times New Roman" w:eastAsia="Times New Roman" w:hAnsi="Times New Roman" w:cs="Times New Roman"/>
          <w:sz w:val="28"/>
          <w:szCs w:val="28"/>
        </w:rPr>
        <w:t>03.02.2026</w:t>
      </w:r>
      <w:r w:rsidR="002B7C49" w:rsidRPr="00632F3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632F33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2B7C49" w:rsidRPr="0063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17F68A" w14:textId="59397D52" w:rsidR="00C70497" w:rsidRDefault="00C70497" w:rsidP="00C704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D89854A" w14:textId="77777777" w:rsidR="002B7C49" w:rsidRPr="00C70497" w:rsidRDefault="002B7C49" w:rsidP="00C704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10EC52A" w14:textId="77777777" w:rsidR="00C70497" w:rsidRPr="00C70497" w:rsidRDefault="00C70497" w:rsidP="00C70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0A3125" w14:textId="0B387E44" w:rsidR="00BE2C96" w:rsidRPr="005608C1" w:rsidRDefault="00BE2C96" w:rsidP="007E2D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6277262"/>
      <w:r w:rsidRPr="005608C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E2DA6" w:rsidRPr="005608C1">
        <w:rPr>
          <w:rFonts w:ascii="Times New Roman" w:hAnsi="Times New Roman" w:cs="Times New Roman"/>
          <w:sz w:val="28"/>
          <w:szCs w:val="28"/>
        </w:rPr>
        <w:t xml:space="preserve"> </w:t>
      </w:r>
      <w:r w:rsidRPr="005608C1">
        <w:rPr>
          <w:rFonts w:ascii="Times New Roman" w:hAnsi="Times New Roman" w:cs="Times New Roman"/>
          <w:sz w:val="28"/>
          <w:szCs w:val="28"/>
        </w:rPr>
        <w:t>постановлени</w:t>
      </w:r>
      <w:r w:rsidR="001A78EA">
        <w:rPr>
          <w:rFonts w:ascii="Times New Roman" w:hAnsi="Times New Roman" w:cs="Times New Roman"/>
          <w:sz w:val="28"/>
          <w:szCs w:val="28"/>
        </w:rPr>
        <w:t>е</w:t>
      </w:r>
      <w:r w:rsidRPr="005608C1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15.06.2023 № 1884 «Об утверждении 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разграничена»</w:t>
      </w:r>
    </w:p>
    <w:bookmarkEnd w:id="0"/>
    <w:p w14:paraId="218B8DA9" w14:textId="6FCB1AD5" w:rsidR="00F5764E" w:rsidRDefault="00F5764E" w:rsidP="00BE2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14AFF" w14:textId="77777777" w:rsidR="002B7C49" w:rsidRPr="005608C1" w:rsidRDefault="002B7C49" w:rsidP="00BE2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165B3" w14:textId="35B5BAC5" w:rsidR="007A2A37" w:rsidRPr="005608C1" w:rsidRDefault="00AF0683" w:rsidP="00BE2C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8C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767EE" w:rsidRPr="005608C1">
        <w:rPr>
          <w:rFonts w:ascii="Times New Roman" w:hAnsi="Times New Roman" w:cs="Times New Roman"/>
          <w:sz w:val="28"/>
          <w:szCs w:val="28"/>
        </w:rPr>
        <w:t>уточнени</w:t>
      </w:r>
      <w:r w:rsidRPr="005608C1">
        <w:rPr>
          <w:rFonts w:ascii="Times New Roman" w:hAnsi="Times New Roman" w:cs="Times New Roman"/>
          <w:sz w:val="28"/>
          <w:szCs w:val="28"/>
        </w:rPr>
        <w:t xml:space="preserve">я </w:t>
      </w:r>
      <w:r w:rsidR="008767EE" w:rsidRPr="005608C1">
        <w:rPr>
          <w:rFonts w:ascii="Times New Roman" w:hAnsi="Times New Roman" w:cs="Times New Roman"/>
          <w:sz w:val="28"/>
          <w:szCs w:val="28"/>
        </w:rPr>
        <w:t>порядка расчета</w:t>
      </w:r>
      <w:r w:rsidRPr="005608C1"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="003D0A9E" w:rsidRPr="005608C1">
        <w:rPr>
          <w:rFonts w:ascii="Times New Roman" w:hAnsi="Times New Roman" w:cs="Times New Roman"/>
          <w:sz w:val="28"/>
          <w:szCs w:val="28"/>
        </w:rPr>
        <w:t>н</w:t>
      </w:r>
      <w:r w:rsidRPr="005608C1">
        <w:rPr>
          <w:rFonts w:ascii="Times New Roman" w:hAnsi="Times New Roman" w:cs="Times New Roman"/>
          <w:sz w:val="28"/>
          <w:szCs w:val="28"/>
        </w:rPr>
        <w:t xml:space="preserve">ачальной (минимальной) </w:t>
      </w:r>
      <w:r w:rsidR="003D0A9E" w:rsidRPr="005608C1">
        <w:rPr>
          <w:rFonts w:ascii="Times New Roman" w:hAnsi="Times New Roman" w:cs="Times New Roman"/>
          <w:sz w:val="28"/>
          <w:szCs w:val="28"/>
        </w:rPr>
        <w:t>цены</w:t>
      </w:r>
      <w:r w:rsidRPr="005608C1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5608C1">
        <w:rPr>
          <w:rFonts w:ascii="Times New Roman" w:hAnsi="Times New Roman" w:cs="Times New Roman"/>
          <w:bCs/>
          <w:sz w:val="28"/>
          <w:szCs w:val="28"/>
        </w:rPr>
        <w:t>на установку и эксплуатацию рекламной конструкции в год</w:t>
      </w:r>
      <w:r w:rsidR="00614220" w:rsidRPr="005608C1">
        <w:rPr>
          <w:rFonts w:ascii="Times New Roman" w:hAnsi="Times New Roman" w:cs="Times New Roman"/>
          <w:bCs/>
          <w:sz w:val="28"/>
          <w:szCs w:val="28"/>
        </w:rPr>
        <w:t>, ПОСТАНОВЛЯЮ:</w:t>
      </w:r>
    </w:p>
    <w:p w14:paraId="215A3DE6" w14:textId="487D2BF8" w:rsidR="00D817B7" w:rsidRDefault="00D817B7" w:rsidP="00762279">
      <w:pPr>
        <w:pStyle w:val="af"/>
        <w:numPr>
          <w:ilvl w:val="0"/>
          <w:numId w:val="3"/>
        </w:numPr>
        <w:ind w:left="0"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Внести в</w:t>
      </w:r>
      <w:r w:rsidRPr="001A78EA">
        <w:rPr>
          <w:rFonts w:ascii="Times New Roman" w:hAnsi="Times New Roman"/>
          <w:sz w:val="28"/>
          <w:szCs w:val="28"/>
        </w:rPr>
        <w:t xml:space="preserve"> </w:t>
      </w:r>
      <w:r w:rsidR="00FD524E" w:rsidRPr="005608C1">
        <w:rPr>
          <w:rFonts w:ascii="Times New Roman" w:hAnsi="Times New Roman"/>
          <w:bCs/>
          <w:sz w:val="28"/>
          <w:szCs w:val="28"/>
        </w:rPr>
        <w:t>постановлени</w:t>
      </w:r>
      <w:r w:rsidR="00FD524E">
        <w:rPr>
          <w:rFonts w:ascii="Times New Roman" w:hAnsi="Times New Roman"/>
          <w:bCs/>
          <w:sz w:val="28"/>
          <w:szCs w:val="28"/>
        </w:rPr>
        <w:t>е</w:t>
      </w:r>
      <w:r w:rsidR="00FD524E" w:rsidRPr="005608C1">
        <w:rPr>
          <w:rFonts w:ascii="Times New Roman" w:hAnsi="Times New Roman"/>
          <w:bCs/>
          <w:sz w:val="28"/>
          <w:szCs w:val="28"/>
        </w:rPr>
        <w:t xml:space="preserve"> Администрации города Рубцовска Алтайского края от 15.06.2023 № 1884</w:t>
      </w:r>
      <w:r w:rsidR="00FD524E">
        <w:rPr>
          <w:rFonts w:ascii="Times New Roman" w:hAnsi="Times New Roman"/>
          <w:bCs/>
          <w:sz w:val="28"/>
          <w:szCs w:val="28"/>
        </w:rPr>
        <w:t xml:space="preserve"> </w:t>
      </w:r>
      <w:r w:rsidR="00B53589">
        <w:rPr>
          <w:rFonts w:ascii="Times New Roman" w:hAnsi="Times New Roman"/>
          <w:bCs/>
          <w:sz w:val="28"/>
          <w:szCs w:val="28"/>
        </w:rPr>
        <w:t>«</w:t>
      </w:r>
      <w:r w:rsidR="00762279">
        <w:rPr>
          <w:rFonts w:ascii="Times New Roman" w:hAnsi="Times New Roman"/>
          <w:bCs/>
          <w:sz w:val="28"/>
          <w:szCs w:val="28"/>
        </w:rPr>
        <w:t>О</w:t>
      </w:r>
      <w:r w:rsidR="00FD524E">
        <w:rPr>
          <w:rFonts w:ascii="Times New Roman" w:hAnsi="Times New Roman"/>
          <w:bCs/>
          <w:sz w:val="28"/>
          <w:szCs w:val="28"/>
        </w:rPr>
        <w:t xml:space="preserve">б утверждении </w:t>
      </w:r>
      <w:r w:rsidRPr="005608C1">
        <w:rPr>
          <w:rFonts w:ascii="Times New Roman" w:hAnsi="Times New Roman"/>
          <w:sz w:val="28"/>
          <w:szCs w:val="28"/>
        </w:rPr>
        <w:t>Порядк</w:t>
      </w:r>
      <w:r w:rsidR="00FD524E">
        <w:rPr>
          <w:rFonts w:ascii="Times New Roman" w:hAnsi="Times New Roman"/>
          <w:sz w:val="28"/>
          <w:szCs w:val="28"/>
        </w:rPr>
        <w:t>а</w:t>
      </w:r>
      <w:r w:rsidRPr="005608C1">
        <w:rPr>
          <w:rFonts w:ascii="Times New Roman" w:hAnsi="Times New Roman"/>
          <w:sz w:val="28"/>
          <w:szCs w:val="28"/>
        </w:rPr>
        <w:t xml:space="preserve"> организации и проведения торгов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5608C1">
        <w:rPr>
          <w:rFonts w:ascii="Times New Roman" w:hAnsi="Times New Roman"/>
          <w:sz w:val="28"/>
          <w:szCs w:val="28"/>
        </w:rPr>
        <w:t xml:space="preserve">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5608C1">
        <w:rPr>
          <w:rFonts w:ascii="Times New Roman" w:hAnsi="Times New Roman"/>
          <w:bCs/>
          <w:sz w:val="28"/>
          <w:szCs w:val="28"/>
        </w:rPr>
        <w:t>»</w:t>
      </w:r>
      <w:r w:rsidR="00762279">
        <w:rPr>
          <w:rFonts w:ascii="Times New Roman" w:hAnsi="Times New Roman"/>
          <w:bCs/>
          <w:sz w:val="28"/>
          <w:szCs w:val="28"/>
        </w:rPr>
        <w:t xml:space="preserve"> </w:t>
      </w:r>
      <w:r w:rsidRPr="005608C1">
        <w:rPr>
          <w:rFonts w:ascii="Times New Roman" w:hAnsi="Times New Roman"/>
          <w:bCs/>
          <w:sz w:val="28"/>
          <w:szCs w:val="28"/>
        </w:rPr>
        <w:t xml:space="preserve">следующие изменения: </w:t>
      </w:r>
    </w:p>
    <w:p w14:paraId="3381D89C" w14:textId="6A774503" w:rsidR="00FD524E" w:rsidRPr="005608C1" w:rsidRDefault="00FD524E" w:rsidP="00B53589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 xml:space="preserve">1.1. </w:t>
      </w:r>
      <w:bookmarkStart w:id="1" w:name="_Hlk217459333"/>
      <w:r w:rsidR="00762279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наименовании, </w:t>
      </w:r>
      <w:r w:rsidRPr="005608C1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 xml:space="preserve">е </w:t>
      </w:r>
      <w:r w:rsidRPr="005608C1">
        <w:rPr>
          <w:rFonts w:ascii="Times New Roman" w:hAnsi="Times New Roman"/>
          <w:bCs/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5608C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 слов «муниципального образования» дополнить словами «городской округ»</w:t>
      </w:r>
      <w:bookmarkEnd w:id="1"/>
      <w:r>
        <w:rPr>
          <w:rFonts w:ascii="Times New Roman" w:hAnsi="Times New Roman"/>
          <w:bCs/>
          <w:sz w:val="28"/>
          <w:szCs w:val="28"/>
        </w:rPr>
        <w:t>;</w:t>
      </w:r>
      <w:r w:rsidRPr="005608C1">
        <w:rPr>
          <w:rFonts w:ascii="Times New Roman" w:hAnsi="Times New Roman"/>
          <w:bCs/>
          <w:sz w:val="28"/>
          <w:szCs w:val="28"/>
        </w:rPr>
        <w:t xml:space="preserve"> </w:t>
      </w:r>
    </w:p>
    <w:p w14:paraId="0BC3741E" w14:textId="77777777" w:rsidR="00762279" w:rsidRDefault="00724643" w:rsidP="00B53589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1.</w:t>
      </w:r>
      <w:r w:rsidR="00FD524E">
        <w:rPr>
          <w:rFonts w:ascii="Times New Roman" w:hAnsi="Times New Roman"/>
          <w:bCs/>
          <w:sz w:val="28"/>
          <w:szCs w:val="28"/>
        </w:rPr>
        <w:t>2</w:t>
      </w:r>
      <w:r w:rsidRPr="005608C1">
        <w:rPr>
          <w:rFonts w:ascii="Times New Roman" w:hAnsi="Times New Roman"/>
          <w:bCs/>
          <w:sz w:val="28"/>
          <w:szCs w:val="28"/>
        </w:rPr>
        <w:t xml:space="preserve">. </w:t>
      </w:r>
      <w:r w:rsidR="00762279">
        <w:rPr>
          <w:rFonts w:ascii="Times New Roman" w:hAnsi="Times New Roman"/>
          <w:bCs/>
          <w:sz w:val="28"/>
          <w:szCs w:val="28"/>
        </w:rPr>
        <w:t>в порядке, утвержденном указанным постановлением (далее - Порядок):</w:t>
      </w:r>
    </w:p>
    <w:p w14:paraId="3C87A697" w14:textId="13ABA1A0" w:rsidR="00762279" w:rsidRDefault="00762279" w:rsidP="00B53589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4796C">
        <w:rPr>
          <w:rFonts w:ascii="Times New Roman" w:hAnsi="Times New Roman"/>
          <w:bCs/>
          <w:sz w:val="28"/>
          <w:szCs w:val="28"/>
        </w:rPr>
        <w:t xml:space="preserve"> наименовании, </w:t>
      </w:r>
      <w:r w:rsidR="0064796C" w:rsidRPr="005608C1">
        <w:rPr>
          <w:rFonts w:ascii="Times New Roman" w:hAnsi="Times New Roman"/>
          <w:bCs/>
          <w:sz w:val="28"/>
          <w:szCs w:val="28"/>
        </w:rPr>
        <w:t>пункт</w:t>
      </w:r>
      <w:r w:rsidR="0064796C">
        <w:rPr>
          <w:rFonts w:ascii="Times New Roman" w:hAnsi="Times New Roman"/>
          <w:bCs/>
          <w:sz w:val="28"/>
          <w:szCs w:val="28"/>
        </w:rPr>
        <w:t xml:space="preserve">е </w:t>
      </w:r>
      <w:r w:rsidR="0064796C" w:rsidRPr="005608C1">
        <w:rPr>
          <w:rFonts w:ascii="Times New Roman" w:hAnsi="Times New Roman"/>
          <w:bCs/>
          <w:sz w:val="28"/>
          <w:szCs w:val="28"/>
        </w:rPr>
        <w:t>1</w:t>
      </w:r>
      <w:r w:rsidR="0064796C">
        <w:rPr>
          <w:rFonts w:ascii="Times New Roman" w:hAnsi="Times New Roman"/>
          <w:bCs/>
          <w:sz w:val="28"/>
          <w:szCs w:val="28"/>
        </w:rPr>
        <w:t>.1 раздела 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4796C">
        <w:rPr>
          <w:rFonts w:ascii="Times New Roman" w:hAnsi="Times New Roman"/>
          <w:bCs/>
          <w:sz w:val="28"/>
          <w:szCs w:val="28"/>
        </w:rPr>
        <w:t>Порядка после слов «муниципального образования» дополнить словами «городской округ»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8493FEE" w14:textId="3B0ECC11" w:rsidR="00614220" w:rsidRPr="005608C1" w:rsidRDefault="00131CC7" w:rsidP="00B53589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пункт 5.1 раздела 5</w:t>
      </w:r>
      <w:r w:rsidR="0006589A">
        <w:rPr>
          <w:rFonts w:ascii="Times New Roman" w:hAnsi="Times New Roman"/>
          <w:bCs/>
          <w:sz w:val="28"/>
          <w:szCs w:val="28"/>
        </w:rPr>
        <w:t xml:space="preserve"> П</w:t>
      </w:r>
      <w:r w:rsidR="0064796C">
        <w:rPr>
          <w:rFonts w:ascii="Times New Roman" w:hAnsi="Times New Roman"/>
          <w:bCs/>
          <w:sz w:val="28"/>
          <w:szCs w:val="28"/>
        </w:rPr>
        <w:t>орядка изложить в следующей редакции</w:t>
      </w:r>
      <w:r w:rsidR="00814375" w:rsidRPr="005608C1">
        <w:rPr>
          <w:rFonts w:ascii="Times New Roman" w:hAnsi="Times New Roman"/>
          <w:bCs/>
          <w:sz w:val="28"/>
          <w:szCs w:val="28"/>
        </w:rPr>
        <w:t>:</w:t>
      </w:r>
      <w:r w:rsidR="003A1932" w:rsidRPr="005608C1">
        <w:rPr>
          <w:rFonts w:ascii="Times New Roman" w:hAnsi="Times New Roman"/>
          <w:bCs/>
          <w:sz w:val="28"/>
          <w:szCs w:val="28"/>
        </w:rPr>
        <w:t xml:space="preserve"> </w:t>
      </w:r>
    </w:p>
    <w:p w14:paraId="08565B44" w14:textId="67443C23" w:rsidR="00871432" w:rsidRPr="005608C1" w:rsidRDefault="00B53589" w:rsidP="00B53589">
      <w:pPr>
        <w:pStyle w:val="ConsPlusTitle"/>
        <w:ind w:right="-5"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871432" w:rsidRPr="005608C1">
        <w:rPr>
          <w:b w:val="0"/>
          <w:sz w:val="28"/>
          <w:szCs w:val="28"/>
        </w:rPr>
        <w:t>5.1. Размер начальной (минимальной) цены договора на установку и эксплуатацию рекламной конструкции в год определяется по формуле:</w:t>
      </w:r>
    </w:p>
    <w:p w14:paraId="73F7EFCE" w14:textId="77777777" w:rsidR="00871432" w:rsidRPr="005608C1" w:rsidRDefault="00871432" w:rsidP="00B53589">
      <w:pPr>
        <w:pStyle w:val="ConsPlusNonformat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C1">
        <w:rPr>
          <w:rFonts w:ascii="Times New Roman" w:hAnsi="Times New Roman" w:cs="Times New Roman"/>
          <w:sz w:val="28"/>
          <w:szCs w:val="28"/>
        </w:rPr>
        <w:t xml:space="preserve">С = БТ х S х М х П х Т х СР (в год), где: </w:t>
      </w:r>
    </w:p>
    <w:p w14:paraId="09B7A335" w14:textId="26EE84B2" w:rsidR="00871432" w:rsidRDefault="00871432" w:rsidP="00B53589">
      <w:pPr>
        <w:pStyle w:val="ConsPlusNonformat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C1">
        <w:rPr>
          <w:rFonts w:ascii="Times New Roman" w:hAnsi="Times New Roman" w:cs="Times New Roman"/>
          <w:sz w:val="28"/>
          <w:szCs w:val="28"/>
        </w:rPr>
        <w:t xml:space="preserve">БТ - базовый тариф стоимости одного квадратного метра рекламного </w:t>
      </w:r>
      <w:r w:rsidRPr="005608C1">
        <w:rPr>
          <w:rFonts w:ascii="Times New Roman" w:hAnsi="Times New Roman" w:cs="Times New Roman"/>
          <w:sz w:val="28"/>
          <w:szCs w:val="28"/>
        </w:rPr>
        <w:lastRenderedPageBreak/>
        <w:t>поля.</w:t>
      </w:r>
    </w:p>
    <w:p w14:paraId="27656B12" w14:textId="27420956" w:rsidR="002A505C" w:rsidRPr="005608C1" w:rsidRDefault="002A505C" w:rsidP="00871432">
      <w:pPr>
        <w:pStyle w:val="ConsPlusNonformat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базовый тариф с 01.01.2026 с учетом его индексации за 2023, 2024 годы в размере 573,31 рубля за 1 кв.</w:t>
      </w:r>
      <w:r w:rsidR="004F2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 в год.</w:t>
      </w:r>
    </w:p>
    <w:p w14:paraId="5283B23E" w14:textId="77777777" w:rsidR="00871432" w:rsidRPr="005608C1" w:rsidRDefault="00871432" w:rsidP="00871432">
      <w:pPr>
        <w:pStyle w:val="ConsPlusNonformat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Базовый тариф подлежит ежегодной индексации цепным методом на коэффициент инфляции за предшествующий год, размер которого ежегодно устанавливается согласно данным, представленным федеральным органом исполнительной власти, осуществляющим координацию информационно – статистических работ.</w:t>
      </w:r>
    </w:p>
    <w:p w14:paraId="11146C02" w14:textId="77777777" w:rsidR="00871432" w:rsidRPr="00983BC1" w:rsidRDefault="00871432" w:rsidP="00871432">
      <w:pPr>
        <w:pStyle w:val="ConsPlusNonformat"/>
        <w:ind w:right="-5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83BC1">
        <w:rPr>
          <w:rFonts w:ascii="Times New Roman" w:hAnsi="Times New Roman" w:cs="Times New Roman"/>
          <w:sz w:val="27"/>
          <w:szCs w:val="27"/>
        </w:rPr>
        <w:t>S - общая площадь информационного поля рекламной конструкции (кв. м);</w:t>
      </w:r>
    </w:p>
    <w:p w14:paraId="57803828" w14:textId="28902376" w:rsidR="00871432" w:rsidRPr="005608C1" w:rsidRDefault="00871432" w:rsidP="00871432">
      <w:pPr>
        <w:pStyle w:val="21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 xml:space="preserve">М - коэффициент, учитывающий территориальную привязку. Его значение приведено в таблице: </w:t>
      </w:r>
    </w:p>
    <w:p w14:paraId="3CAD355E" w14:textId="77777777" w:rsidR="00F5764E" w:rsidRPr="00EA03F4" w:rsidRDefault="00F5764E" w:rsidP="00871432">
      <w:pPr>
        <w:pStyle w:val="21"/>
        <w:spacing w:after="0" w:line="240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3"/>
        <w:gridCol w:w="3827"/>
      </w:tblGrid>
      <w:tr w:rsidR="00871432" w:rsidRPr="00EA03F4" w14:paraId="2C32F130" w14:textId="77777777" w:rsidTr="0064796C">
        <w:tc>
          <w:tcPr>
            <w:tcW w:w="1276" w:type="dxa"/>
          </w:tcPr>
          <w:p w14:paraId="61E7DF9B" w14:textId="7B574B9D" w:rsidR="00871432" w:rsidRPr="00EA03F4" w:rsidRDefault="00871432" w:rsidP="0064796C">
            <w:pPr>
              <w:pStyle w:val="ConsPlusNonformat"/>
              <w:ind w:left="-84" w:right="-108" w:hanging="2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47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14:paraId="177A1DBE" w14:textId="77777777" w:rsidR="00871432" w:rsidRPr="00EA03F4" w:rsidRDefault="00871432" w:rsidP="00D26548">
            <w:pPr>
              <w:pStyle w:val="ConsPlusNonformat"/>
              <w:ind w:right="36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Территориальные зоны</w:t>
            </w:r>
          </w:p>
        </w:tc>
        <w:tc>
          <w:tcPr>
            <w:tcW w:w="3827" w:type="dxa"/>
          </w:tcPr>
          <w:p w14:paraId="53562E16" w14:textId="1AE9ACBF" w:rsidR="00871432" w:rsidRPr="00EA03F4" w:rsidRDefault="00871432" w:rsidP="0064796C">
            <w:pPr>
              <w:pStyle w:val="ConsPlusNonformat"/>
              <w:ind w:left="34" w:right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  <w:r w:rsidR="00647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коэффициента М</w:t>
            </w:r>
          </w:p>
        </w:tc>
      </w:tr>
      <w:tr w:rsidR="00871432" w:rsidRPr="00EA03F4" w14:paraId="6A7C3EC1" w14:textId="77777777" w:rsidTr="0064796C">
        <w:tc>
          <w:tcPr>
            <w:tcW w:w="1276" w:type="dxa"/>
          </w:tcPr>
          <w:p w14:paraId="395B8732" w14:textId="77777777" w:rsidR="00871432" w:rsidRPr="00EA03F4" w:rsidRDefault="00871432" w:rsidP="00D26548">
            <w:pPr>
              <w:pStyle w:val="ConsPlusNonformat"/>
              <w:ind w:left="-84" w:right="-108" w:firstLine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14:paraId="075E4AF4" w14:textId="77777777" w:rsidR="00871432" w:rsidRPr="00EA03F4" w:rsidRDefault="00871432" w:rsidP="00D26548">
            <w:pPr>
              <w:pStyle w:val="ConsPlusNonformat"/>
              <w:ind w:right="36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зона </w:t>
            </w:r>
            <w:r w:rsidRPr="00EA03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категории </w:t>
            </w:r>
          </w:p>
        </w:tc>
        <w:tc>
          <w:tcPr>
            <w:tcW w:w="3827" w:type="dxa"/>
          </w:tcPr>
          <w:p w14:paraId="476E388C" w14:textId="77777777" w:rsidR="00871432" w:rsidRPr="00EA03F4" w:rsidRDefault="00871432" w:rsidP="004F2670">
            <w:pPr>
              <w:pStyle w:val="ConsPlusNonformat"/>
              <w:ind w:left="284" w:right="368" w:firstLine="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871432" w:rsidRPr="00EA03F4" w14:paraId="7AFB91C2" w14:textId="77777777" w:rsidTr="0064796C">
        <w:tc>
          <w:tcPr>
            <w:tcW w:w="1276" w:type="dxa"/>
          </w:tcPr>
          <w:p w14:paraId="3B806188" w14:textId="77777777" w:rsidR="00871432" w:rsidRPr="00EA03F4" w:rsidRDefault="00871432" w:rsidP="00D26548">
            <w:pPr>
              <w:pStyle w:val="ConsPlusNonformat"/>
              <w:ind w:left="-84" w:right="-108" w:firstLine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14:paraId="472A7C11" w14:textId="77777777" w:rsidR="00871432" w:rsidRPr="00EA03F4" w:rsidRDefault="00871432" w:rsidP="00D26548">
            <w:pPr>
              <w:pStyle w:val="ConsPlusNonformat"/>
              <w:ind w:right="36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зона </w:t>
            </w:r>
            <w:r w:rsidRPr="00EA03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категории </w:t>
            </w:r>
          </w:p>
        </w:tc>
        <w:tc>
          <w:tcPr>
            <w:tcW w:w="3827" w:type="dxa"/>
          </w:tcPr>
          <w:p w14:paraId="43E673F7" w14:textId="77777777" w:rsidR="00871432" w:rsidRPr="00EA03F4" w:rsidRDefault="00871432" w:rsidP="004F2670">
            <w:pPr>
              <w:pStyle w:val="ConsPlusNonformat"/>
              <w:ind w:left="284" w:right="368" w:firstLine="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71432" w:rsidRPr="00EA03F4" w14:paraId="40CFA82B" w14:textId="77777777" w:rsidTr="0064796C">
        <w:tc>
          <w:tcPr>
            <w:tcW w:w="1276" w:type="dxa"/>
          </w:tcPr>
          <w:p w14:paraId="2013C72D" w14:textId="77777777" w:rsidR="00871432" w:rsidRPr="00EA03F4" w:rsidRDefault="00871432" w:rsidP="00D26548">
            <w:pPr>
              <w:pStyle w:val="ConsPlusNonformat"/>
              <w:ind w:left="-84" w:right="-108" w:firstLine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14:paraId="31CCBB07" w14:textId="77777777" w:rsidR="00871432" w:rsidRPr="00EA03F4" w:rsidRDefault="00871432" w:rsidP="00D26548">
            <w:pPr>
              <w:pStyle w:val="ConsPlusNonformat"/>
              <w:ind w:right="36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зона </w:t>
            </w:r>
            <w:r w:rsidRPr="00EA03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</w:tc>
        <w:tc>
          <w:tcPr>
            <w:tcW w:w="3827" w:type="dxa"/>
          </w:tcPr>
          <w:p w14:paraId="162FBF6E" w14:textId="77777777" w:rsidR="00871432" w:rsidRPr="00EA03F4" w:rsidRDefault="00871432" w:rsidP="004F2670">
            <w:pPr>
              <w:pStyle w:val="ConsPlusNonformat"/>
              <w:ind w:left="284" w:right="368" w:firstLine="3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</w:tbl>
    <w:p w14:paraId="784552D8" w14:textId="77777777" w:rsidR="002B7C49" w:rsidRDefault="002B7C49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</w:p>
    <w:p w14:paraId="553F2B1A" w14:textId="241409F8" w:rsidR="00871432" w:rsidRPr="005608C1" w:rsidRDefault="00871432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 xml:space="preserve">Городская зона </w:t>
      </w:r>
      <w:r w:rsidRPr="005608C1">
        <w:rPr>
          <w:sz w:val="28"/>
          <w:szCs w:val="28"/>
          <w:lang w:val="en-US"/>
        </w:rPr>
        <w:t>I</w:t>
      </w:r>
      <w:r w:rsidRPr="005608C1">
        <w:rPr>
          <w:sz w:val="28"/>
          <w:szCs w:val="28"/>
        </w:rPr>
        <w:t xml:space="preserve"> категории – </w:t>
      </w:r>
      <w:proofErr w:type="spellStart"/>
      <w:r w:rsidRPr="005608C1">
        <w:rPr>
          <w:sz w:val="28"/>
          <w:szCs w:val="28"/>
        </w:rPr>
        <w:t>пр-кт</w:t>
      </w:r>
      <w:proofErr w:type="spellEnd"/>
      <w:r w:rsidRPr="005608C1">
        <w:rPr>
          <w:sz w:val="28"/>
          <w:szCs w:val="28"/>
        </w:rPr>
        <w:t xml:space="preserve"> Ленина (от ул. Калинина до </w:t>
      </w:r>
      <w:r w:rsidR="00B53589">
        <w:rPr>
          <w:sz w:val="28"/>
          <w:szCs w:val="28"/>
        </w:rPr>
        <w:t xml:space="preserve">                 </w:t>
      </w:r>
      <w:r w:rsidRPr="005608C1">
        <w:rPr>
          <w:sz w:val="28"/>
          <w:szCs w:val="28"/>
        </w:rPr>
        <w:t xml:space="preserve">ул. </w:t>
      </w:r>
      <w:proofErr w:type="spellStart"/>
      <w:r w:rsidRPr="005608C1">
        <w:rPr>
          <w:sz w:val="28"/>
          <w:szCs w:val="28"/>
        </w:rPr>
        <w:t>Сельмашской</w:t>
      </w:r>
      <w:proofErr w:type="spellEnd"/>
      <w:r w:rsidRPr="005608C1">
        <w:rPr>
          <w:sz w:val="28"/>
          <w:szCs w:val="28"/>
        </w:rPr>
        <w:t xml:space="preserve">), ул. Калинина (от </w:t>
      </w:r>
      <w:proofErr w:type="spellStart"/>
      <w:r w:rsidRPr="005608C1">
        <w:rPr>
          <w:sz w:val="28"/>
          <w:szCs w:val="28"/>
        </w:rPr>
        <w:t>пр</w:t>
      </w:r>
      <w:proofErr w:type="spellEnd"/>
      <w:r w:rsidRPr="005608C1">
        <w:rPr>
          <w:sz w:val="28"/>
          <w:szCs w:val="28"/>
        </w:rPr>
        <w:t>-та Ленина до ул. Тракторной).</w:t>
      </w:r>
    </w:p>
    <w:p w14:paraId="736572A9" w14:textId="091C3CA1" w:rsidR="00871432" w:rsidRPr="005608C1" w:rsidRDefault="00871432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 xml:space="preserve">Городская зона </w:t>
      </w:r>
      <w:r w:rsidRPr="005608C1">
        <w:rPr>
          <w:sz w:val="28"/>
          <w:szCs w:val="28"/>
          <w:lang w:val="en-US"/>
        </w:rPr>
        <w:t>II</w:t>
      </w:r>
      <w:r w:rsidRPr="005608C1">
        <w:rPr>
          <w:sz w:val="28"/>
          <w:szCs w:val="28"/>
        </w:rPr>
        <w:t xml:space="preserve"> категории - ул. Комсомольская, </w:t>
      </w:r>
      <w:proofErr w:type="spellStart"/>
      <w:r w:rsidRPr="005608C1">
        <w:rPr>
          <w:sz w:val="28"/>
          <w:szCs w:val="28"/>
        </w:rPr>
        <w:t>Веселоярский</w:t>
      </w:r>
      <w:proofErr w:type="spellEnd"/>
      <w:r w:rsidRPr="005608C1">
        <w:rPr>
          <w:sz w:val="28"/>
          <w:szCs w:val="28"/>
        </w:rPr>
        <w:t xml:space="preserve"> тракт от ул. Комсомольской до границы муниципального образования </w:t>
      </w:r>
      <w:r w:rsidR="0064796C">
        <w:rPr>
          <w:sz w:val="28"/>
          <w:szCs w:val="28"/>
        </w:rPr>
        <w:t xml:space="preserve">городской округ </w:t>
      </w:r>
      <w:r w:rsidRPr="005608C1">
        <w:rPr>
          <w:sz w:val="28"/>
          <w:szCs w:val="28"/>
        </w:rPr>
        <w:t xml:space="preserve">город Рубцовск Алтайского края, ул. Рихарда Зорге от Угловского тракта до границы муниципального образования </w:t>
      </w:r>
      <w:r w:rsidR="0064796C">
        <w:rPr>
          <w:sz w:val="28"/>
          <w:szCs w:val="28"/>
        </w:rPr>
        <w:t xml:space="preserve">городской округ </w:t>
      </w:r>
      <w:r w:rsidRPr="005608C1">
        <w:rPr>
          <w:sz w:val="28"/>
          <w:szCs w:val="28"/>
        </w:rPr>
        <w:t xml:space="preserve">город Рубцовск Алтайского края, </w:t>
      </w:r>
      <w:proofErr w:type="spellStart"/>
      <w:r w:rsidRPr="005608C1">
        <w:rPr>
          <w:sz w:val="28"/>
          <w:szCs w:val="28"/>
        </w:rPr>
        <w:t>Новоегорьевский</w:t>
      </w:r>
      <w:proofErr w:type="spellEnd"/>
      <w:r w:rsidRPr="005608C1">
        <w:rPr>
          <w:sz w:val="28"/>
          <w:szCs w:val="28"/>
        </w:rPr>
        <w:t xml:space="preserve"> тракт от ул. Братской до границы муниципального образования </w:t>
      </w:r>
      <w:r w:rsidR="0064796C">
        <w:rPr>
          <w:sz w:val="28"/>
          <w:szCs w:val="28"/>
        </w:rPr>
        <w:t xml:space="preserve">городской округ </w:t>
      </w:r>
      <w:r w:rsidRPr="005608C1">
        <w:rPr>
          <w:sz w:val="28"/>
          <w:szCs w:val="28"/>
        </w:rPr>
        <w:t xml:space="preserve">город Рубцовск Алтайского края, Змеиногорский тракт от моста через реку Алей до границы муниципального образования </w:t>
      </w:r>
      <w:r w:rsidR="0064796C">
        <w:rPr>
          <w:sz w:val="28"/>
          <w:szCs w:val="28"/>
        </w:rPr>
        <w:t xml:space="preserve">городской округ </w:t>
      </w:r>
      <w:r w:rsidRPr="005608C1">
        <w:rPr>
          <w:sz w:val="28"/>
          <w:szCs w:val="28"/>
        </w:rPr>
        <w:t xml:space="preserve">город Рубцовск Алтайского края, ул. Алтайская от ул. Федоренко до границы муниципального  образования </w:t>
      </w:r>
      <w:r w:rsidR="0064796C">
        <w:rPr>
          <w:sz w:val="28"/>
          <w:szCs w:val="28"/>
        </w:rPr>
        <w:t>городской округ</w:t>
      </w:r>
      <w:r w:rsidRPr="005608C1">
        <w:rPr>
          <w:sz w:val="28"/>
          <w:szCs w:val="28"/>
        </w:rPr>
        <w:t xml:space="preserve"> город Рубцовск Алтайского края</w:t>
      </w:r>
      <w:r w:rsidR="00B53589">
        <w:rPr>
          <w:sz w:val="28"/>
          <w:szCs w:val="28"/>
        </w:rPr>
        <w:t>,</w:t>
      </w:r>
      <w:r w:rsidRPr="005608C1">
        <w:rPr>
          <w:sz w:val="28"/>
          <w:szCs w:val="28"/>
        </w:rPr>
        <w:t xml:space="preserve"> </w:t>
      </w:r>
      <w:r w:rsidR="00977FEE">
        <w:rPr>
          <w:sz w:val="28"/>
          <w:szCs w:val="28"/>
        </w:rPr>
        <w:t>у</w:t>
      </w:r>
      <w:r w:rsidRPr="005608C1">
        <w:rPr>
          <w:sz w:val="28"/>
          <w:szCs w:val="28"/>
        </w:rPr>
        <w:t xml:space="preserve">л. Тракторная от ул. Светлова до границы муниципального образования </w:t>
      </w:r>
      <w:r w:rsidR="0064796C">
        <w:rPr>
          <w:sz w:val="28"/>
          <w:szCs w:val="28"/>
        </w:rPr>
        <w:t xml:space="preserve">городской округ </w:t>
      </w:r>
      <w:r w:rsidRPr="005608C1">
        <w:rPr>
          <w:sz w:val="28"/>
          <w:szCs w:val="28"/>
        </w:rPr>
        <w:t>город Рубцовск Алтайского края.</w:t>
      </w:r>
    </w:p>
    <w:p w14:paraId="15ECC505" w14:textId="77777777" w:rsidR="00871432" w:rsidRPr="005608C1" w:rsidRDefault="00871432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 xml:space="preserve">Городская зона </w:t>
      </w:r>
      <w:r w:rsidRPr="005608C1">
        <w:rPr>
          <w:sz w:val="28"/>
          <w:szCs w:val="28"/>
          <w:lang w:val="en-US"/>
        </w:rPr>
        <w:t>III</w:t>
      </w:r>
      <w:r w:rsidRPr="005608C1">
        <w:rPr>
          <w:sz w:val="28"/>
          <w:szCs w:val="28"/>
        </w:rPr>
        <w:t xml:space="preserve"> категории - прочие улицы.</w:t>
      </w:r>
    </w:p>
    <w:p w14:paraId="374EFB9A" w14:textId="4CC1EA63" w:rsidR="00871432" w:rsidRDefault="00871432" w:rsidP="00871432">
      <w:pPr>
        <w:pStyle w:val="ConsPlusCell"/>
        <w:ind w:right="-1"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>П - коэффициент, учитывающий площадь информационного поля рекламной конструкции. Его значение приведено в таблице:</w:t>
      </w:r>
    </w:p>
    <w:p w14:paraId="4649C24A" w14:textId="77777777" w:rsidR="002B7C49" w:rsidRPr="005608C1" w:rsidRDefault="002B7C49" w:rsidP="00871432">
      <w:pPr>
        <w:pStyle w:val="ConsPlusCell"/>
        <w:ind w:right="-1"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5716"/>
        <w:gridCol w:w="2394"/>
      </w:tblGrid>
      <w:tr w:rsidR="00871432" w:rsidRPr="00EA03F4" w14:paraId="489245FF" w14:textId="77777777" w:rsidTr="0064796C">
        <w:tc>
          <w:tcPr>
            <w:tcW w:w="1239" w:type="dxa"/>
          </w:tcPr>
          <w:p w14:paraId="6C1711EB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№ п/п</w:t>
            </w:r>
          </w:p>
        </w:tc>
        <w:tc>
          <w:tcPr>
            <w:tcW w:w="5716" w:type="dxa"/>
          </w:tcPr>
          <w:p w14:paraId="4C174F71" w14:textId="77777777" w:rsidR="00871432" w:rsidRPr="00EA03F4" w:rsidRDefault="00871432" w:rsidP="00D26548">
            <w:pPr>
              <w:pStyle w:val="ConsPlusCell"/>
              <w:ind w:firstLine="39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Площадь информационного поля рекламной конструкции, м</w:t>
            </w:r>
            <w:r w:rsidRPr="00EA03F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394" w:type="dxa"/>
          </w:tcPr>
          <w:p w14:paraId="354F919F" w14:textId="77777777" w:rsidR="00871432" w:rsidRPr="00EA03F4" w:rsidRDefault="00871432" w:rsidP="00D26548">
            <w:pPr>
              <w:pStyle w:val="ConsPlusCell"/>
              <w:ind w:firstLine="61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Значение коэффициента П</w:t>
            </w:r>
          </w:p>
        </w:tc>
      </w:tr>
      <w:tr w:rsidR="00871432" w:rsidRPr="00EA03F4" w14:paraId="33BCE1F4" w14:textId="77777777" w:rsidTr="0064796C">
        <w:tc>
          <w:tcPr>
            <w:tcW w:w="1239" w:type="dxa"/>
          </w:tcPr>
          <w:p w14:paraId="2E941B2F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1</w:t>
            </w:r>
          </w:p>
        </w:tc>
        <w:tc>
          <w:tcPr>
            <w:tcW w:w="5716" w:type="dxa"/>
          </w:tcPr>
          <w:p w14:paraId="02E3A1DC" w14:textId="77777777" w:rsidR="00871432" w:rsidRPr="00EA03F4" w:rsidRDefault="00871432" w:rsidP="00D26548">
            <w:pPr>
              <w:pStyle w:val="ConsPlusCell"/>
              <w:contextualSpacing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До 8,999</w:t>
            </w:r>
          </w:p>
        </w:tc>
        <w:tc>
          <w:tcPr>
            <w:tcW w:w="2394" w:type="dxa"/>
          </w:tcPr>
          <w:p w14:paraId="71C528D8" w14:textId="77777777" w:rsidR="00871432" w:rsidRPr="00EA03F4" w:rsidRDefault="00871432" w:rsidP="004F2670">
            <w:pPr>
              <w:pStyle w:val="ConsPlusCell"/>
              <w:ind w:hanging="118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1,2</w:t>
            </w:r>
          </w:p>
        </w:tc>
      </w:tr>
      <w:tr w:rsidR="00871432" w:rsidRPr="00EA03F4" w14:paraId="001D1312" w14:textId="77777777" w:rsidTr="0064796C">
        <w:tc>
          <w:tcPr>
            <w:tcW w:w="1239" w:type="dxa"/>
          </w:tcPr>
          <w:p w14:paraId="70352561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2</w:t>
            </w:r>
          </w:p>
        </w:tc>
        <w:tc>
          <w:tcPr>
            <w:tcW w:w="5716" w:type="dxa"/>
          </w:tcPr>
          <w:p w14:paraId="41E7EEFA" w14:textId="77777777" w:rsidR="00871432" w:rsidRPr="00EA03F4" w:rsidRDefault="00871432" w:rsidP="00D26548">
            <w:pPr>
              <w:pStyle w:val="ConsPlusCell"/>
              <w:contextualSpacing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От 9 до 17,999</w:t>
            </w:r>
          </w:p>
        </w:tc>
        <w:tc>
          <w:tcPr>
            <w:tcW w:w="2394" w:type="dxa"/>
          </w:tcPr>
          <w:p w14:paraId="79C7C6A8" w14:textId="77777777" w:rsidR="00871432" w:rsidRPr="00EA03F4" w:rsidRDefault="00871432" w:rsidP="004F2670">
            <w:pPr>
              <w:pStyle w:val="ConsPlusCell"/>
              <w:ind w:hanging="118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1</w:t>
            </w:r>
          </w:p>
        </w:tc>
      </w:tr>
      <w:tr w:rsidR="00871432" w:rsidRPr="00EA03F4" w14:paraId="49D1831C" w14:textId="77777777" w:rsidTr="0064796C">
        <w:tc>
          <w:tcPr>
            <w:tcW w:w="1239" w:type="dxa"/>
          </w:tcPr>
          <w:p w14:paraId="76714CB6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3</w:t>
            </w:r>
          </w:p>
        </w:tc>
        <w:tc>
          <w:tcPr>
            <w:tcW w:w="5716" w:type="dxa"/>
          </w:tcPr>
          <w:p w14:paraId="7398E4A4" w14:textId="77777777" w:rsidR="00871432" w:rsidRPr="00EA03F4" w:rsidRDefault="00871432" w:rsidP="00D26548">
            <w:pPr>
              <w:pStyle w:val="ConsPlusCell"/>
              <w:contextualSpacing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От 18 до 35,999</w:t>
            </w:r>
          </w:p>
        </w:tc>
        <w:tc>
          <w:tcPr>
            <w:tcW w:w="2394" w:type="dxa"/>
          </w:tcPr>
          <w:p w14:paraId="4B885FD6" w14:textId="77777777" w:rsidR="00871432" w:rsidRPr="00EA03F4" w:rsidRDefault="00871432" w:rsidP="004F2670">
            <w:pPr>
              <w:pStyle w:val="ConsPlusCell"/>
              <w:ind w:hanging="118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0,8</w:t>
            </w:r>
          </w:p>
        </w:tc>
      </w:tr>
      <w:tr w:rsidR="00871432" w:rsidRPr="00EA03F4" w14:paraId="55140C72" w14:textId="77777777" w:rsidTr="0064796C">
        <w:tc>
          <w:tcPr>
            <w:tcW w:w="1239" w:type="dxa"/>
          </w:tcPr>
          <w:p w14:paraId="059FB85F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4</w:t>
            </w:r>
          </w:p>
        </w:tc>
        <w:tc>
          <w:tcPr>
            <w:tcW w:w="5716" w:type="dxa"/>
          </w:tcPr>
          <w:p w14:paraId="5B70B6E7" w14:textId="77777777" w:rsidR="00871432" w:rsidRPr="00EA03F4" w:rsidRDefault="00871432" w:rsidP="00D26548">
            <w:pPr>
              <w:pStyle w:val="ConsPlusCell"/>
              <w:contextualSpacing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От 36 до 99,999</w:t>
            </w:r>
          </w:p>
        </w:tc>
        <w:tc>
          <w:tcPr>
            <w:tcW w:w="2394" w:type="dxa"/>
          </w:tcPr>
          <w:p w14:paraId="0E25A412" w14:textId="77777777" w:rsidR="00871432" w:rsidRPr="00EA03F4" w:rsidRDefault="00871432" w:rsidP="004F2670">
            <w:pPr>
              <w:pStyle w:val="ConsPlusCell"/>
              <w:ind w:hanging="118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0,7</w:t>
            </w:r>
          </w:p>
        </w:tc>
      </w:tr>
      <w:tr w:rsidR="00871432" w:rsidRPr="00EA03F4" w14:paraId="204CDCAF" w14:textId="77777777" w:rsidTr="0064796C">
        <w:tc>
          <w:tcPr>
            <w:tcW w:w="1239" w:type="dxa"/>
          </w:tcPr>
          <w:p w14:paraId="7D2E5D4F" w14:textId="77777777" w:rsidR="00871432" w:rsidRPr="00EA03F4" w:rsidRDefault="00871432" w:rsidP="00D26548">
            <w:pPr>
              <w:pStyle w:val="ConsPlusCell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5</w:t>
            </w:r>
          </w:p>
        </w:tc>
        <w:tc>
          <w:tcPr>
            <w:tcW w:w="5716" w:type="dxa"/>
          </w:tcPr>
          <w:p w14:paraId="76BE8F1D" w14:textId="77777777" w:rsidR="00871432" w:rsidRPr="00EA03F4" w:rsidRDefault="00871432" w:rsidP="00D26548">
            <w:pPr>
              <w:pStyle w:val="ConsPlusCell"/>
              <w:contextualSpacing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От 100 и более</w:t>
            </w:r>
          </w:p>
        </w:tc>
        <w:tc>
          <w:tcPr>
            <w:tcW w:w="2394" w:type="dxa"/>
          </w:tcPr>
          <w:p w14:paraId="07854FA3" w14:textId="77777777" w:rsidR="00871432" w:rsidRPr="00EA03F4" w:rsidRDefault="00871432" w:rsidP="004F2670">
            <w:pPr>
              <w:pStyle w:val="ConsPlusCell"/>
              <w:ind w:hanging="118"/>
              <w:contextualSpacing/>
              <w:jc w:val="center"/>
              <w:rPr>
                <w:sz w:val="26"/>
                <w:szCs w:val="26"/>
              </w:rPr>
            </w:pPr>
            <w:r w:rsidRPr="00EA03F4">
              <w:rPr>
                <w:sz w:val="26"/>
                <w:szCs w:val="26"/>
              </w:rPr>
              <w:t>0,6</w:t>
            </w:r>
          </w:p>
        </w:tc>
      </w:tr>
    </w:tbl>
    <w:p w14:paraId="0184551D" w14:textId="77777777" w:rsidR="002B7C49" w:rsidRDefault="002B7C49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</w:p>
    <w:p w14:paraId="018112BB" w14:textId="16882F1E" w:rsidR="00871432" w:rsidRPr="005608C1" w:rsidRDefault="00871432" w:rsidP="00871432">
      <w:pPr>
        <w:pStyle w:val="ConsPlusCell"/>
        <w:ind w:right="-5" w:firstLine="709"/>
        <w:contextualSpacing/>
        <w:jc w:val="both"/>
        <w:rPr>
          <w:sz w:val="28"/>
          <w:szCs w:val="28"/>
        </w:rPr>
      </w:pPr>
      <w:r w:rsidRPr="005608C1">
        <w:rPr>
          <w:sz w:val="28"/>
          <w:szCs w:val="28"/>
        </w:rPr>
        <w:t>Т - коэффициент, учитывающий тип рекламной конструкции. Его значение приведено в таблице: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812"/>
        <w:gridCol w:w="2410"/>
      </w:tblGrid>
      <w:tr w:rsidR="00871432" w:rsidRPr="00EA03F4" w14:paraId="7E7F821E" w14:textId="77777777" w:rsidTr="0064796C">
        <w:tc>
          <w:tcPr>
            <w:tcW w:w="1247" w:type="dxa"/>
          </w:tcPr>
          <w:p w14:paraId="6A3E4D7B" w14:textId="0461434D" w:rsidR="00871432" w:rsidRPr="00EA03F4" w:rsidRDefault="00871432" w:rsidP="0064796C">
            <w:pPr>
              <w:pStyle w:val="ConsPlusNonformat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 w:rsidR="006479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812" w:type="dxa"/>
          </w:tcPr>
          <w:p w14:paraId="732F541A" w14:textId="77777777" w:rsidR="00871432" w:rsidRPr="00EA03F4" w:rsidRDefault="00871432" w:rsidP="00D26548">
            <w:pPr>
              <w:pStyle w:val="ConsPlusNonformat"/>
              <w:ind w:left="34" w:right="-4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Тип рекламной конструкции</w:t>
            </w:r>
          </w:p>
        </w:tc>
        <w:tc>
          <w:tcPr>
            <w:tcW w:w="2410" w:type="dxa"/>
          </w:tcPr>
          <w:p w14:paraId="79BA6347" w14:textId="77777777" w:rsidR="00871432" w:rsidRPr="00EA03F4" w:rsidRDefault="00871432" w:rsidP="00D26548">
            <w:pPr>
              <w:pStyle w:val="ConsPlusNonformat"/>
              <w:ind w:left="34" w:right="-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Значение коэффициента Т</w:t>
            </w:r>
          </w:p>
        </w:tc>
      </w:tr>
      <w:tr w:rsidR="00871432" w:rsidRPr="00EA03F4" w14:paraId="5E3CBD6A" w14:textId="77777777" w:rsidTr="0064796C">
        <w:tc>
          <w:tcPr>
            <w:tcW w:w="1247" w:type="dxa"/>
            <w:vAlign w:val="center"/>
          </w:tcPr>
          <w:p w14:paraId="7CAFA551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79660E55" w14:textId="77777777" w:rsidR="00871432" w:rsidRPr="00EA03F4" w:rsidRDefault="00871432" w:rsidP="00D26548">
            <w:pPr>
              <w:pStyle w:val="ConsPlusNonformat"/>
              <w:ind w:right="-40" w:firstLine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Электронные табло, видеоэкраны, светодинамические рекламные конструкции</w:t>
            </w:r>
          </w:p>
        </w:tc>
        <w:tc>
          <w:tcPr>
            <w:tcW w:w="2410" w:type="dxa"/>
            <w:vAlign w:val="center"/>
          </w:tcPr>
          <w:p w14:paraId="5B40C119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871432" w:rsidRPr="00EA03F4" w14:paraId="652E7A13" w14:textId="77777777" w:rsidTr="0064796C">
        <w:tc>
          <w:tcPr>
            <w:tcW w:w="1247" w:type="dxa"/>
            <w:vAlign w:val="center"/>
          </w:tcPr>
          <w:p w14:paraId="5B3B6379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063FC3E" w14:textId="77777777" w:rsidR="00871432" w:rsidRPr="00EA03F4" w:rsidRDefault="00871432" w:rsidP="00D26548">
            <w:pPr>
              <w:spacing w:after="0" w:line="240" w:lineRule="auto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D07D7C" w14:textId="77777777" w:rsidR="00871432" w:rsidRPr="00EA03F4" w:rsidRDefault="00871432" w:rsidP="00D26548">
            <w:pPr>
              <w:spacing w:after="0" w:line="240" w:lineRule="auto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AE944" w14:textId="77777777" w:rsidR="00871432" w:rsidRPr="00EA03F4" w:rsidRDefault="00871432" w:rsidP="00D26548">
            <w:pPr>
              <w:tabs>
                <w:tab w:val="left" w:pos="705"/>
              </w:tabs>
              <w:spacing w:after="0" w:line="240" w:lineRule="auto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0B83D323" w14:textId="77777777" w:rsidR="00871432" w:rsidRPr="00EA03F4" w:rsidRDefault="00871432" w:rsidP="00D26548">
            <w:pPr>
              <w:pStyle w:val="ConsPlusNonformat"/>
              <w:ind w:left="34" w:right="-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Рекламные конструкции со сменой изображения, за исключением электронных табло, видеоэкранов, светодинамических рекламных конструкций </w:t>
            </w:r>
          </w:p>
        </w:tc>
        <w:tc>
          <w:tcPr>
            <w:tcW w:w="2410" w:type="dxa"/>
            <w:vAlign w:val="center"/>
          </w:tcPr>
          <w:p w14:paraId="5B479BBD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871432" w:rsidRPr="00EA03F4" w14:paraId="2107A630" w14:textId="77777777" w:rsidTr="0064796C">
        <w:tc>
          <w:tcPr>
            <w:tcW w:w="1247" w:type="dxa"/>
            <w:vAlign w:val="center"/>
          </w:tcPr>
          <w:p w14:paraId="430E11A1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0DC72874" w14:textId="77777777" w:rsidR="00871432" w:rsidRPr="00EA03F4" w:rsidRDefault="00871432" w:rsidP="00D26548">
            <w:pPr>
              <w:pStyle w:val="ConsPlusNonformat"/>
              <w:ind w:left="34" w:right="-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Иные рекламные конструкции </w:t>
            </w:r>
          </w:p>
        </w:tc>
        <w:tc>
          <w:tcPr>
            <w:tcW w:w="2410" w:type="dxa"/>
            <w:vAlign w:val="center"/>
          </w:tcPr>
          <w:p w14:paraId="2C67B140" w14:textId="77777777" w:rsidR="00871432" w:rsidRPr="00EA03F4" w:rsidRDefault="00871432" w:rsidP="00D26548">
            <w:pPr>
              <w:pStyle w:val="ConsPlusNonformat"/>
              <w:ind w:left="-206" w:right="-40" w:firstLine="4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14:paraId="62E309C6" w14:textId="77777777" w:rsidR="002B7C49" w:rsidRDefault="002B7C49" w:rsidP="00871432">
      <w:pPr>
        <w:pStyle w:val="ConsPlusNonformat"/>
        <w:tabs>
          <w:tab w:val="left" w:pos="9480"/>
        </w:tabs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AD4CF" w14:textId="16AF6C86" w:rsidR="00871432" w:rsidRPr="005608C1" w:rsidRDefault="00871432" w:rsidP="00871432">
      <w:pPr>
        <w:pStyle w:val="ConsPlusNonformat"/>
        <w:tabs>
          <w:tab w:val="left" w:pos="9480"/>
        </w:tabs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C1">
        <w:rPr>
          <w:rFonts w:ascii="Times New Roman" w:hAnsi="Times New Roman" w:cs="Times New Roman"/>
          <w:sz w:val="28"/>
          <w:szCs w:val="28"/>
        </w:rPr>
        <w:t>СР - коэффициент, учитывающий объем размещения социальной рекламы. Его значение приведено в таблице: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5812"/>
        <w:gridCol w:w="2439"/>
      </w:tblGrid>
      <w:tr w:rsidR="00871432" w:rsidRPr="00EA03F4" w14:paraId="253363F9" w14:textId="77777777" w:rsidTr="0087724A">
        <w:tc>
          <w:tcPr>
            <w:tcW w:w="1247" w:type="dxa"/>
          </w:tcPr>
          <w:p w14:paraId="691561C3" w14:textId="511B787B" w:rsidR="00871432" w:rsidRPr="00EA03F4" w:rsidRDefault="00871432" w:rsidP="0064796C">
            <w:pPr>
              <w:pStyle w:val="ConsPlusNonformat"/>
              <w:ind w:right="-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</w:tcPr>
          <w:p w14:paraId="74547524" w14:textId="77777777" w:rsidR="00871432" w:rsidRPr="00EA03F4" w:rsidRDefault="00871432" w:rsidP="00D26548">
            <w:pPr>
              <w:pStyle w:val="ConsPlusNonformat"/>
              <w:ind w:left="-34" w:right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Объем социальной рекламы</w:t>
            </w:r>
          </w:p>
        </w:tc>
        <w:tc>
          <w:tcPr>
            <w:tcW w:w="2439" w:type="dxa"/>
          </w:tcPr>
          <w:p w14:paraId="671ED738" w14:textId="77777777" w:rsidR="00871432" w:rsidRPr="00EA03F4" w:rsidRDefault="00871432" w:rsidP="00D26548">
            <w:pPr>
              <w:pStyle w:val="ConsPlusNonformat"/>
              <w:ind w:left="3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Значение коэффициента СР</w:t>
            </w:r>
          </w:p>
        </w:tc>
      </w:tr>
      <w:tr w:rsidR="00871432" w:rsidRPr="00EA03F4" w14:paraId="07FB2C35" w14:textId="77777777" w:rsidTr="0087724A">
        <w:tc>
          <w:tcPr>
            <w:tcW w:w="1247" w:type="dxa"/>
            <w:vAlign w:val="center"/>
          </w:tcPr>
          <w:p w14:paraId="3F8F1F20" w14:textId="77777777" w:rsidR="00871432" w:rsidRPr="00EA03F4" w:rsidRDefault="00871432" w:rsidP="00D26548">
            <w:pPr>
              <w:pStyle w:val="ConsPlusNonformat"/>
              <w:ind w:right="-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70A9D607" w14:textId="77777777" w:rsidR="00871432" w:rsidRPr="00EA03F4" w:rsidRDefault="00871432" w:rsidP="00D26548">
            <w:pPr>
              <w:pStyle w:val="ConsPlusNonformat"/>
              <w:ind w:left="-34"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До 5 % (включительно) годового объема распространения рекламы </w:t>
            </w:r>
          </w:p>
        </w:tc>
        <w:tc>
          <w:tcPr>
            <w:tcW w:w="2439" w:type="dxa"/>
            <w:vAlign w:val="center"/>
          </w:tcPr>
          <w:p w14:paraId="3E84CEB8" w14:textId="77777777" w:rsidR="00871432" w:rsidRPr="00EA03F4" w:rsidRDefault="00871432" w:rsidP="00983BC1">
            <w:pPr>
              <w:pStyle w:val="ConsPlusNonformat"/>
              <w:ind w:left="284" w:right="368"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871432" w:rsidRPr="00EA03F4" w14:paraId="0D2DC5E0" w14:textId="77777777" w:rsidTr="0087724A">
        <w:tc>
          <w:tcPr>
            <w:tcW w:w="1247" w:type="dxa"/>
            <w:vAlign w:val="center"/>
          </w:tcPr>
          <w:p w14:paraId="49DBAC0B" w14:textId="77777777" w:rsidR="00871432" w:rsidRPr="00EA03F4" w:rsidRDefault="00871432" w:rsidP="00D26548">
            <w:pPr>
              <w:pStyle w:val="ConsPlusNonformat"/>
              <w:ind w:right="-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14:paraId="0B640415" w14:textId="77777777" w:rsidR="00871432" w:rsidRPr="00EA03F4" w:rsidRDefault="00871432" w:rsidP="00D26548">
            <w:pPr>
              <w:pStyle w:val="ConsPlusNonformat"/>
              <w:ind w:left="-34"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От 6 % до 10 % (включительно) годового объема распространения рекламы </w:t>
            </w:r>
          </w:p>
        </w:tc>
        <w:tc>
          <w:tcPr>
            <w:tcW w:w="2439" w:type="dxa"/>
            <w:vAlign w:val="center"/>
          </w:tcPr>
          <w:p w14:paraId="16FD4431" w14:textId="77777777" w:rsidR="00871432" w:rsidRPr="00EA03F4" w:rsidRDefault="00871432" w:rsidP="00983BC1">
            <w:pPr>
              <w:pStyle w:val="ConsPlusNonformat"/>
              <w:ind w:left="284" w:right="368"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871432" w:rsidRPr="00EA03F4" w14:paraId="464D1122" w14:textId="77777777" w:rsidTr="0087724A">
        <w:tc>
          <w:tcPr>
            <w:tcW w:w="1247" w:type="dxa"/>
            <w:vAlign w:val="center"/>
          </w:tcPr>
          <w:p w14:paraId="300CCD16" w14:textId="77777777" w:rsidR="00871432" w:rsidRPr="00EA03F4" w:rsidRDefault="00871432" w:rsidP="00D26548">
            <w:pPr>
              <w:pStyle w:val="ConsPlusNonformat"/>
              <w:ind w:right="-4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76248CFF" w14:textId="77777777" w:rsidR="00871432" w:rsidRPr="00EA03F4" w:rsidRDefault="00871432" w:rsidP="00D26548">
            <w:pPr>
              <w:pStyle w:val="ConsPlusNonformat"/>
              <w:ind w:left="-34" w:righ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 xml:space="preserve">От 11 % до 20 % (включительно) годового объема распространения рекламы </w:t>
            </w:r>
          </w:p>
        </w:tc>
        <w:tc>
          <w:tcPr>
            <w:tcW w:w="2439" w:type="dxa"/>
            <w:vAlign w:val="center"/>
          </w:tcPr>
          <w:p w14:paraId="734201D4" w14:textId="77777777" w:rsidR="00871432" w:rsidRPr="00EA03F4" w:rsidRDefault="00871432" w:rsidP="00983BC1">
            <w:pPr>
              <w:pStyle w:val="ConsPlusNonformat"/>
              <w:ind w:left="284" w:right="368"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A03F4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</w:tbl>
    <w:p w14:paraId="15972D94" w14:textId="5F7ADA4B" w:rsidR="00871432" w:rsidRDefault="00B902CD" w:rsidP="00871432">
      <w:pPr>
        <w:pStyle w:val="ConsPlusNonformat"/>
        <w:ind w:left="284" w:right="368"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772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D11A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14:paraId="399C2AD4" w14:textId="1505C152" w:rsidR="00B94BB4" w:rsidRPr="005608C1" w:rsidRDefault="00B94BB4" w:rsidP="00977FEE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8D625BB" w14:textId="0A6EADC9" w:rsidR="00B94BB4" w:rsidRPr="005608C1" w:rsidRDefault="00B94BB4" w:rsidP="00977FEE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</w:t>
      </w:r>
      <w:r w:rsidR="008143F7" w:rsidRPr="005608C1">
        <w:rPr>
          <w:rFonts w:ascii="Times New Roman" w:hAnsi="Times New Roman"/>
          <w:bCs/>
          <w:sz w:val="28"/>
          <w:szCs w:val="28"/>
        </w:rPr>
        <w:t xml:space="preserve"> </w:t>
      </w:r>
      <w:r w:rsidR="00FF2C45" w:rsidRPr="005608C1">
        <w:rPr>
          <w:rFonts w:ascii="Times New Roman" w:hAnsi="Times New Roman"/>
          <w:bCs/>
          <w:sz w:val="28"/>
          <w:szCs w:val="28"/>
        </w:rPr>
        <w:t>01</w:t>
      </w:r>
      <w:r w:rsidR="008143F7" w:rsidRPr="005608C1">
        <w:rPr>
          <w:rFonts w:ascii="Times New Roman" w:hAnsi="Times New Roman"/>
          <w:bCs/>
          <w:sz w:val="28"/>
          <w:szCs w:val="28"/>
        </w:rPr>
        <w:t>.0</w:t>
      </w:r>
      <w:r w:rsidR="00FF2C45" w:rsidRPr="005608C1">
        <w:rPr>
          <w:rFonts w:ascii="Times New Roman" w:hAnsi="Times New Roman"/>
          <w:bCs/>
          <w:sz w:val="28"/>
          <w:szCs w:val="28"/>
        </w:rPr>
        <w:t>1</w:t>
      </w:r>
      <w:r w:rsidR="008143F7" w:rsidRPr="005608C1">
        <w:rPr>
          <w:rFonts w:ascii="Times New Roman" w:hAnsi="Times New Roman"/>
          <w:bCs/>
          <w:sz w:val="28"/>
          <w:szCs w:val="28"/>
        </w:rPr>
        <w:t>.202</w:t>
      </w:r>
      <w:r w:rsidR="00FF2C45" w:rsidRPr="005608C1">
        <w:rPr>
          <w:rFonts w:ascii="Times New Roman" w:hAnsi="Times New Roman"/>
          <w:bCs/>
          <w:sz w:val="28"/>
          <w:szCs w:val="28"/>
        </w:rPr>
        <w:t>6</w:t>
      </w:r>
      <w:r w:rsidR="008143F7" w:rsidRPr="005608C1">
        <w:rPr>
          <w:rFonts w:ascii="Times New Roman" w:hAnsi="Times New Roman"/>
          <w:bCs/>
          <w:sz w:val="28"/>
          <w:szCs w:val="28"/>
        </w:rPr>
        <w:t>.</w:t>
      </w:r>
    </w:p>
    <w:p w14:paraId="1EBA617F" w14:textId="6D13E651" w:rsidR="00BA18DE" w:rsidRDefault="008143F7" w:rsidP="00977FEE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08C1"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</w:t>
      </w:r>
      <w:r w:rsidR="0064796C">
        <w:rPr>
          <w:rFonts w:ascii="Times New Roman" w:hAnsi="Times New Roman"/>
          <w:bCs/>
          <w:sz w:val="28"/>
          <w:szCs w:val="28"/>
        </w:rPr>
        <w:t>а</w:t>
      </w:r>
      <w:r w:rsidRPr="005608C1">
        <w:rPr>
          <w:rFonts w:ascii="Times New Roman" w:hAnsi="Times New Roman"/>
          <w:bCs/>
          <w:sz w:val="28"/>
          <w:szCs w:val="28"/>
        </w:rPr>
        <w:t xml:space="preserve"> по финансам, налоговой и кредитной политике Пьянкова В.И.</w:t>
      </w:r>
    </w:p>
    <w:p w14:paraId="5B69A2BE" w14:textId="7E9534A7" w:rsidR="00BA18DE" w:rsidRDefault="00BA18DE" w:rsidP="00977FEE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D11DE82" w14:textId="77777777" w:rsidR="00BA18DE" w:rsidRPr="00BA18DE" w:rsidRDefault="00BA18DE" w:rsidP="00977FEE">
      <w:pPr>
        <w:pStyle w:val="af"/>
        <w:ind w:right="-103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ED6F78C" w14:textId="77777777" w:rsidR="00762279" w:rsidRDefault="00BA18DE" w:rsidP="00977FEE">
      <w:pPr>
        <w:tabs>
          <w:tab w:val="left" w:pos="11624"/>
        </w:tabs>
        <w:spacing w:after="0" w:line="240" w:lineRule="auto"/>
        <w:ind w:right="-102"/>
        <w:jc w:val="both"/>
        <w:rPr>
          <w:rFonts w:ascii="Times New Roman" w:hAnsi="Times New Roman" w:cs="Times New Roman"/>
          <w:sz w:val="28"/>
          <w:szCs w:val="28"/>
        </w:rPr>
      </w:pPr>
      <w:r w:rsidRPr="00BA18DE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0B27B74A" w14:textId="2B6D0215" w:rsidR="00BA18DE" w:rsidRPr="00BA18DE" w:rsidRDefault="00BA18DE" w:rsidP="00977FEE">
      <w:pPr>
        <w:tabs>
          <w:tab w:val="left" w:pos="11624"/>
        </w:tabs>
        <w:spacing w:after="0" w:line="240" w:lineRule="auto"/>
        <w:ind w:right="-102"/>
        <w:jc w:val="both"/>
        <w:rPr>
          <w:rFonts w:ascii="Times New Roman" w:hAnsi="Times New Roman" w:cs="Times New Roman"/>
          <w:sz w:val="28"/>
          <w:szCs w:val="28"/>
        </w:rPr>
      </w:pPr>
      <w:r w:rsidRPr="00BA18DE">
        <w:rPr>
          <w:rFonts w:ascii="Times New Roman" w:hAnsi="Times New Roman" w:cs="Times New Roman"/>
          <w:sz w:val="28"/>
          <w:szCs w:val="28"/>
        </w:rPr>
        <w:t xml:space="preserve">Главы города Рубцовска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22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18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2670">
        <w:rPr>
          <w:rFonts w:ascii="Times New Roman" w:hAnsi="Times New Roman" w:cs="Times New Roman"/>
          <w:sz w:val="28"/>
          <w:szCs w:val="28"/>
        </w:rPr>
        <w:t xml:space="preserve"> </w:t>
      </w:r>
      <w:r w:rsidRPr="00BA18DE">
        <w:rPr>
          <w:rFonts w:ascii="Times New Roman" w:hAnsi="Times New Roman" w:cs="Times New Roman"/>
          <w:sz w:val="28"/>
          <w:szCs w:val="28"/>
        </w:rPr>
        <w:t xml:space="preserve"> </w:t>
      </w:r>
      <w:r w:rsidR="00762279">
        <w:rPr>
          <w:rFonts w:ascii="Times New Roman" w:hAnsi="Times New Roman" w:cs="Times New Roman"/>
          <w:sz w:val="28"/>
          <w:szCs w:val="28"/>
        </w:rPr>
        <w:t xml:space="preserve">  </w:t>
      </w:r>
      <w:r w:rsidRPr="00BA18DE">
        <w:rPr>
          <w:rFonts w:ascii="Times New Roman" w:hAnsi="Times New Roman" w:cs="Times New Roman"/>
          <w:sz w:val="28"/>
          <w:szCs w:val="28"/>
        </w:rPr>
        <w:t xml:space="preserve">      И.А. Башмаков</w:t>
      </w:r>
    </w:p>
    <w:p w14:paraId="0DAF4C2E" w14:textId="77777777" w:rsidR="00BA18DE" w:rsidRPr="00BA18DE" w:rsidRDefault="00BA18DE" w:rsidP="00BA18DE">
      <w:pPr>
        <w:tabs>
          <w:tab w:val="left" w:pos="11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ABC92" w14:textId="7D02D924" w:rsidR="00ED4740" w:rsidRDefault="00ED4740" w:rsidP="0061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138A1" w14:textId="53F670BF" w:rsidR="008525D7" w:rsidRDefault="008525D7" w:rsidP="00614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25D7" w:rsidSect="00F205E6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E34D" w14:textId="77777777" w:rsidR="00476E43" w:rsidRDefault="00476E43">
      <w:pPr>
        <w:spacing w:after="0" w:line="240" w:lineRule="auto"/>
      </w:pPr>
      <w:r>
        <w:separator/>
      </w:r>
    </w:p>
  </w:endnote>
  <w:endnote w:type="continuationSeparator" w:id="0">
    <w:p w14:paraId="5B43BE3C" w14:textId="77777777" w:rsidR="00476E43" w:rsidRDefault="0047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1DEB" w14:textId="77777777" w:rsidR="00476E43" w:rsidRDefault="00476E43">
      <w:pPr>
        <w:spacing w:after="0" w:line="240" w:lineRule="auto"/>
      </w:pPr>
      <w:r>
        <w:separator/>
      </w:r>
    </w:p>
  </w:footnote>
  <w:footnote w:type="continuationSeparator" w:id="0">
    <w:p w14:paraId="460BE288" w14:textId="77777777" w:rsidR="00476E43" w:rsidRDefault="0047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162966"/>
      <w:docPartObj>
        <w:docPartGallery w:val="Page Numbers (Top of Page)"/>
        <w:docPartUnique/>
      </w:docPartObj>
    </w:sdtPr>
    <w:sdtContent>
      <w:p w14:paraId="28363DAD" w14:textId="556EE797" w:rsidR="00F205E6" w:rsidRDefault="00F205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DC752" w14:textId="77777777" w:rsidR="00F205E6" w:rsidRDefault="00F205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7CC"/>
    <w:multiLevelType w:val="hybridMultilevel"/>
    <w:tmpl w:val="0D281CF0"/>
    <w:lvl w:ilvl="0" w:tplc="53B6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410688"/>
    <w:multiLevelType w:val="multilevel"/>
    <w:tmpl w:val="7F2E9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B0469D"/>
    <w:multiLevelType w:val="hybridMultilevel"/>
    <w:tmpl w:val="162012C0"/>
    <w:lvl w:ilvl="0" w:tplc="6C86C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313747">
    <w:abstractNumId w:val="1"/>
  </w:num>
  <w:num w:numId="2" w16cid:durableId="1010836559">
    <w:abstractNumId w:val="2"/>
  </w:num>
  <w:num w:numId="3" w16cid:durableId="64416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82"/>
    <w:rsid w:val="00016A70"/>
    <w:rsid w:val="000250D2"/>
    <w:rsid w:val="0006589A"/>
    <w:rsid w:val="000C41E7"/>
    <w:rsid w:val="00103718"/>
    <w:rsid w:val="00131CC7"/>
    <w:rsid w:val="001A78EA"/>
    <w:rsid w:val="00274716"/>
    <w:rsid w:val="002A505C"/>
    <w:rsid w:val="002B7C49"/>
    <w:rsid w:val="002C3867"/>
    <w:rsid w:val="00370344"/>
    <w:rsid w:val="003A1932"/>
    <w:rsid w:val="003D0A9E"/>
    <w:rsid w:val="00425933"/>
    <w:rsid w:val="004366FF"/>
    <w:rsid w:val="004654AF"/>
    <w:rsid w:val="004670C3"/>
    <w:rsid w:val="00476E43"/>
    <w:rsid w:val="004A2888"/>
    <w:rsid w:val="004F2670"/>
    <w:rsid w:val="00560122"/>
    <w:rsid w:val="005608C1"/>
    <w:rsid w:val="00576FE0"/>
    <w:rsid w:val="005F3BA5"/>
    <w:rsid w:val="00602D28"/>
    <w:rsid w:val="00614220"/>
    <w:rsid w:val="00632F33"/>
    <w:rsid w:val="0064796C"/>
    <w:rsid w:val="006633F5"/>
    <w:rsid w:val="00691128"/>
    <w:rsid w:val="007105B7"/>
    <w:rsid w:val="00724643"/>
    <w:rsid w:val="007260BB"/>
    <w:rsid w:val="00762279"/>
    <w:rsid w:val="00771DA5"/>
    <w:rsid w:val="007A2A37"/>
    <w:rsid w:val="007A6D64"/>
    <w:rsid w:val="007E2DA6"/>
    <w:rsid w:val="00814375"/>
    <w:rsid w:val="008143F7"/>
    <w:rsid w:val="008179AC"/>
    <w:rsid w:val="008525D7"/>
    <w:rsid w:val="00871432"/>
    <w:rsid w:val="008767EE"/>
    <w:rsid w:val="0087724A"/>
    <w:rsid w:val="008D3FF9"/>
    <w:rsid w:val="00913ACF"/>
    <w:rsid w:val="00977FEE"/>
    <w:rsid w:val="00983BC1"/>
    <w:rsid w:val="009E1B1A"/>
    <w:rsid w:val="00AF0683"/>
    <w:rsid w:val="00B53589"/>
    <w:rsid w:val="00B902CD"/>
    <w:rsid w:val="00B94BB4"/>
    <w:rsid w:val="00BA18DE"/>
    <w:rsid w:val="00BA63B5"/>
    <w:rsid w:val="00BE2C96"/>
    <w:rsid w:val="00C135BB"/>
    <w:rsid w:val="00C540F5"/>
    <w:rsid w:val="00C65182"/>
    <w:rsid w:val="00C70497"/>
    <w:rsid w:val="00D11AE9"/>
    <w:rsid w:val="00D817B7"/>
    <w:rsid w:val="00D97F3D"/>
    <w:rsid w:val="00DC3418"/>
    <w:rsid w:val="00DD1A46"/>
    <w:rsid w:val="00DF6A2C"/>
    <w:rsid w:val="00E55C63"/>
    <w:rsid w:val="00EA03F4"/>
    <w:rsid w:val="00ED4740"/>
    <w:rsid w:val="00F205E6"/>
    <w:rsid w:val="00F46974"/>
    <w:rsid w:val="00F5764E"/>
    <w:rsid w:val="00F6791C"/>
    <w:rsid w:val="00FB4548"/>
    <w:rsid w:val="00FD524E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35F3"/>
  <w15:chartTrackingRefBased/>
  <w15:docId w15:val="{FF8C2AD4-319D-46F9-ABDA-927C72C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88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A28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2888"/>
    <w:rPr>
      <w:rFonts w:ascii="Times New Roman" w:eastAsia="Times New Roman" w:hAnsi="Times New Roman" w:cs="Times New Roman"/>
      <w:bCs/>
      <w:sz w:val="28"/>
      <w:szCs w:val="16"/>
      <w:lang w:eastAsia="ru-RU"/>
    </w:rPr>
  </w:style>
  <w:style w:type="paragraph" w:styleId="a3">
    <w:name w:val="footer"/>
    <w:basedOn w:val="a"/>
    <w:link w:val="a4"/>
    <w:uiPriority w:val="99"/>
    <w:unhideWhenUsed/>
    <w:rsid w:val="004A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2888"/>
    <w:rPr>
      <w:rFonts w:eastAsiaTheme="minorEastAsia"/>
      <w:lang w:eastAsia="ru-RU"/>
    </w:rPr>
  </w:style>
  <w:style w:type="character" w:styleId="a5">
    <w:name w:val="Hyperlink"/>
    <w:uiPriority w:val="99"/>
    <w:unhideWhenUsed/>
    <w:rsid w:val="004A2888"/>
    <w:rPr>
      <w:color w:val="0000FF"/>
      <w:u w:val="single"/>
    </w:rPr>
  </w:style>
  <w:style w:type="character" w:customStyle="1" w:styleId="submitted">
    <w:name w:val="submitted"/>
    <w:basedOn w:val="a0"/>
    <w:rsid w:val="004A2888"/>
  </w:style>
  <w:style w:type="paragraph" w:styleId="a6">
    <w:name w:val="Normal (Web)"/>
    <w:basedOn w:val="a"/>
    <w:uiPriority w:val="99"/>
    <w:semiHidden/>
    <w:unhideWhenUsed/>
    <w:rsid w:val="004A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A2888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8D3FF9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3FF9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rsid w:val="006911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91128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911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691128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691128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691128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ad">
    <w:name w:val="Основной текст_"/>
    <w:link w:val="1"/>
    <w:rsid w:val="00691128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691128"/>
    <w:pPr>
      <w:widowControl w:val="0"/>
      <w:spacing w:after="0" w:line="240" w:lineRule="auto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911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691128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styleId="ae">
    <w:name w:val="List Paragraph"/>
    <w:basedOn w:val="a"/>
    <w:uiPriority w:val="34"/>
    <w:qFormat/>
    <w:rsid w:val="00614220"/>
    <w:pPr>
      <w:ind w:left="720"/>
      <w:contextualSpacing/>
    </w:pPr>
  </w:style>
  <w:style w:type="paragraph" w:styleId="af">
    <w:name w:val="Plain Text"/>
    <w:basedOn w:val="a"/>
    <w:link w:val="af0"/>
    <w:rsid w:val="0061422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6142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A03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A0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0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A0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0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Шихалева</dc:creator>
  <cp:keywords/>
  <dc:description/>
  <cp:lastModifiedBy>Походяева Анастасия Сергеевн</cp:lastModifiedBy>
  <cp:revision>29</cp:revision>
  <cp:lastPrinted>2026-01-19T04:46:00Z</cp:lastPrinted>
  <dcterms:created xsi:type="dcterms:W3CDTF">2025-10-29T01:41:00Z</dcterms:created>
  <dcterms:modified xsi:type="dcterms:W3CDTF">2026-02-03T02:05:00Z</dcterms:modified>
</cp:coreProperties>
</file>