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A9" w:rsidRPr="00D554EE" w:rsidRDefault="001C40A9" w:rsidP="001C40A9">
      <w:pPr>
        <w:pStyle w:val="aa"/>
        <w:spacing w:after="0"/>
        <w:ind w:firstLine="639"/>
        <w:jc w:val="center"/>
        <w:rPr>
          <w:rFonts w:ascii="Times New Roman" w:hAnsi="Times New Roman"/>
          <w:sz w:val="28"/>
          <w:szCs w:val="28"/>
        </w:rPr>
      </w:pPr>
      <w:r w:rsidRPr="00D554EE">
        <w:rPr>
          <w:rFonts w:ascii="Times New Roman" w:hAnsi="Times New Roman"/>
          <w:sz w:val="28"/>
          <w:szCs w:val="28"/>
        </w:rPr>
        <w:t>Отчет</w:t>
      </w:r>
    </w:p>
    <w:p w:rsidR="001C40A9" w:rsidRPr="00D554EE" w:rsidRDefault="001C40A9" w:rsidP="001C40A9">
      <w:pPr>
        <w:pStyle w:val="aa"/>
        <w:spacing w:after="0"/>
        <w:ind w:firstLine="639"/>
        <w:jc w:val="center"/>
        <w:rPr>
          <w:rFonts w:ascii="Times New Roman" w:hAnsi="Times New Roman"/>
          <w:sz w:val="28"/>
          <w:szCs w:val="28"/>
        </w:rPr>
      </w:pPr>
      <w:r w:rsidRPr="00D554EE">
        <w:rPr>
          <w:rFonts w:ascii="Times New Roman" w:hAnsi="Times New Roman"/>
          <w:sz w:val="28"/>
          <w:szCs w:val="28"/>
        </w:rPr>
        <w:t>о реализации муниципальной  программы «Повышение инвестиционной привлекательности муниципального образования город Рубцовск Алтайского края» на 2018 -2020 годы</w:t>
      </w:r>
    </w:p>
    <w:p w:rsidR="001C40A9" w:rsidRDefault="001C40A9" w:rsidP="001C40A9">
      <w:pPr>
        <w:pStyle w:val="aa"/>
        <w:spacing w:after="0"/>
        <w:ind w:firstLine="639"/>
        <w:jc w:val="center"/>
        <w:rPr>
          <w:rFonts w:ascii="Times New Roman" w:hAnsi="Times New Roman"/>
          <w:sz w:val="28"/>
          <w:szCs w:val="28"/>
        </w:rPr>
      </w:pPr>
      <w:r w:rsidRPr="001C40A9">
        <w:rPr>
          <w:rFonts w:ascii="Times New Roman" w:hAnsi="Times New Roman"/>
          <w:sz w:val="28"/>
          <w:szCs w:val="28"/>
        </w:rPr>
        <w:t>за 2019 год</w:t>
      </w:r>
    </w:p>
    <w:p w:rsidR="00E733D1" w:rsidRPr="001C40A9" w:rsidRDefault="00E733D1" w:rsidP="001C40A9">
      <w:pPr>
        <w:pStyle w:val="aa"/>
        <w:spacing w:after="0"/>
        <w:ind w:firstLine="639"/>
        <w:jc w:val="center"/>
        <w:rPr>
          <w:rFonts w:ascii="Times New Roman" w:hAnsi="Times New Roman"/>
          <w:sz w:val="28"/>
          <w:szCs w:val="28"/>
        </w:rPr>
      </w:pPr>
    </w:p>
    <w:p w:rsidR="001C40A9" w:rsidRPr="001C40A9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C40A9">
        <w:rPr>
          <w:rFonts w:ascii="Times New Roman" w:hAnsi="Times New Roman"/>
          <w:color w:val="000000" w:themeColor="text1"/>
          <w:sz w:val="28"/>
          <w:szCs w:val="28"/>
        </w:rPr>
        <w:t>С целью формирования благоприятных условий для повышения инвестиционной привлекательности и развития территории муниципального образования города Рубцовск Алтайского края,  а именно</w:t>
      </w:r>
      <w:r w:rsidR="00790A93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системной работы по привлечению инвестиций на территорию муниципального образования для улучшения его социально-экономического состояния, разработана и утверждена постановлением Администрации города Рубцовска Алтайского края от 10.07.2017 № 2176 муниципальная программа «Повышение инвестиционной привлекательности муниципального образования город Рубцовск Алтайского края» на 2018-2020</w:t>
      </w:r>
      <w:proofErr w:type="gram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годы  (далее – Программа). </w:t>
      </w:r>
    </w:p>
    <w:p w:rsidR="001C40A9" w:rsidRPr="001C40A9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Для обеспечения достижения поставленной цели  - формирование благоприятных условий для повышения инвестиционной привлекательности и развития территории, содействие развитию конкуренции муниципального образования города Рубцовска Алтайского края, Программа признана решать следующие задачи: по участию в совершенствовании нормативно-правового, организационного и инфраструктурного обеспечения инвестиционной деятельности на территории города Рубцовска в рамках регионального, федерального законодательства; </w:t>
      </w:r>
      <w:proofErr w:type="gramStart"/>
      <w:r w:rsidRPr="001C40A9">
        <w:rPr>
          <w:rFonts w:ascii="Times New Roman" w:hAnsi="Times New Roman"/>
          <w:color w:val="000000" w:themeColor="text1"/>
          <w:sz w:val="28"/>
          <w:szCs w:val="28"/>
        </w:rPr>
        <w:t>по участию в поддержке механизмов, обеспечивающих повышение инвестиционной привлекательности города Рубцовска; по организации работы по формированию приоритетных направлений и факторов повышения  инвестиционной привлекательности города Рубцовска; по содействию повышения степени обеспеченности ресурсами и инфраструктурой процессов инвестиционной деятельности в городе Рубцовске; по создание условий для развития конкуренции на приоритетных и социально значимых рынках города Рубцовска;</w:t>
      </w:r>
      <w:proofErr w:type="gram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по организации и проведению системных мероприятий, направленных на развитие конкурентной среды.</w:t>
      </w:r>
    </w:p>
    <w:p w:rsidR="001C40A9" w:rsidRPr="001C40A9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Финансирование мероприятий Программы осуществляется за счет средств бюджета города. </w:t>
      </w:r>
      <w:proofErr w:type="gramStart"/>
      <w:r w:rsidRPr="001C40A9">
        <w:rPr>
          <w:rFonts w:ascii="Times New Roman" w:hAnsi="Times New Roman"/>
          <w:color w:val="000000" w:themeColor="text1"/>
          <w:sz w:val="28"/>
          <w:szCs w:val="28"/>
        </w:rPr>
        <w:t>Общий объем финансирования Программы на 2018-2020 годы запланирован в сумме 370 тыс. руб., в том числе на 2019 год - 110 тыс. руб. В отчетном году 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 постановлением Администрации города Рубцовска Алтайского края от 06.02.2019 № 237 были внесены</w:t>
      </w:r>
      <w:proofErr w:type="gram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изменения в части финансирования Программы. Объем бюджетных средств на 2019 год составил 34 тыс. руб., а фактически мероприятия Программы профинансированы на 61,5% (20,9 тыс. руб.).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318F" w:rsidRDefault="0068318F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1C40A9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В отчетном году были выполнены следующие мероприятия: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- принят Порядок организации и проведения торгов по продаже права на заключение договоров на установку и эксплуатацию рекламных конструкций с использованием     имущества      и    земельных    участков,    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разграничена;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- проведена плановая проверка исполнения концессионером условий концессионного соглашения, по результатам составлен акт о результатах </w:t>
      </w:r>
      <w:proofErr w:type="gramStart"/>
      <w:r w:rsidRPr="001C40A9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концессионного соглашения в отношении объектов коммунальной инфраструктуры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- выдано 620 разрешений на проведение земельных работ для прокладки коммуникаций;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- проведен мониторинг бюджетных проектов социально значимых объектов города (включая капитальный ремонт);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- постановлением Администрации города Рубцовска Алтайского края от 10.01.2019 № 34 (с изменениями) утверждены объемы финансирования  бюджетных проектов;</w:t>
      </w:r>
    </w:p>
    <w:p w:rsidR="001C40A9" w:rsidRPr="0071030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- направлены в Минэкономразвития Алтайского края и КАУ «Алтайский </w:t>
      </w:r>
      <w:r w:rsidRPr="00710305">
        <w:rPr>
          <w:rFonts w:ascii="Times New Roman" w:hAnsi="Times New Roman"/>
          <w:color w:val="000000" w:themeColor="text1"/>
          <w:sz w:val="28"/>
          <w:szCs w:val="28"/>
        </w:rPr>
        <w:t>центр развития и инвестиций» отчеты о реализации инвестиционных проектов в городе Рубцовске, отчеты о результативности инвестиционных проектов, инвестиционные предложения, сведения о земельных участках и имуществе для реализации проектов;</w:t>
      </w:r>
    </w:p>
    <w:p w:rsidR="001C40A9" w:rsidRPr="0071030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0305">
        <w:rPr>
          <w:rFonts w:ascii="Times New Roman" w:hAnsi="Times New Roman"/>
          <w:color w:val="000000" w:themeColor="text1"/>
          <w:sz w:val="28"/>
          <w:szCs w:val="28"/>
        </w:rPr>
        <w:t>- в информационно-телекоммуникационной сети «Интернет» на сайте Администрации города в разделе «Инвесторам» ежеквартально обновлялся реестр инвестиционных предложений для реализации на территории города, обновлялась  информация по реестрам производственных площадок и по земельным участкам для размещения на них объектов инвестиционной деятельности;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- выполнен комплекс кадастровых работ с целью образования 5 земельных участков, предназначенных для строительства капитальных объектов;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- проведено 25 процедур оценки регулирующего воздействия проектов муниципальных нормативных правовых актов и 2 экспертизы муниципальных нормативных правовых актов, затрагивающие вопросы осуществления предпринимательской и инвестиционной деятельности.</w:t>
      </w:r>
    </w:p>
    <w:p w:rsidR="001C40A9" w:rsidRPr="00710305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0305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муниципального образования функционирует 4 постоянно действующие ярмарки по продаже продовольственных, непродовольственных групп товаров местных товаропроизводителей. </w:t>
      </w:r>
    </w:p>
    <w:p w:rsidR="001C40A9" w:rsidRPr="001C40A9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0305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субъектов малого и среднего предпринимательства (МСП):</w:t>
      </w:r>
    </w:p>
    <w:p w:rsidR="001C40A9" w:rsidRPr="00F332CC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0305">
        <w:rPr>
          <w:rFonts w:ascii="Times New Roman" w:hAnsi="Times New Roman"/>
          <w:color w:val="000000" w:themeColor="text1"/>
          <w:sz w:val="28"/>
          <w:szCs w:val="28"/>
        </w:rPr>
        <w:t xml:space="preserve">- организовано 2 тренинга на тему: «Участие в государственных закупках» в </w:t>
      </w:r>
      <w:r w:rsidRPr="00F332CC">
        <w:rPr>
          <w:rFonts w:ascii="Times New Roman" w:hAnsi="Times New Roman"/>
          <w:color w:val="000000" w:themeColor="text1"/>
          <w:sz w:val="28"/>
          <w:szCs w:val="28"/>
        </w:rPr>
        <w:t>Управлении Алтайского края по развитию предпринимательства и рыночной инфраструктуры совместно с Минэкономразвития Алтайского края;</w:t>
      </w:r>
    </w:p>
    <w:p w:rsidR="00CE413B" w:rsidRDefault="00CE413B" w:rsidP="000042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413B" w:rsidRDefault="00CE413B" w:rsidP="000042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413B" w:rsidRDefault="00CE413B" w:rsidP="000042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896" w:rsidRDefault="001C40A9" w:rsidP="000042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32CC">
        <w:rPr>
          <w:rFonts w:ascii="Times New Roman" w:hAnsi="Times New Roman"/>
          <w:color w:val="000000" w:themeColor="text1"/>
          <w:sz w:val="28"/>
          <w:szCs w:val="28"/>
        </w:rPr>
        <w:t>- организован и проведен семинар на тему: «Участие субъектов МСП в закупках отдельных видов юридических лиц по Федеральному закону № 223-ФЗ».</w:t>
      </w:r>
    </w:p>
    <w:p w:rsidR="001C40A9" w:rsidRPr="00F332CC" w:rsidRDefault="001C40A9" w:rsidP="00CF689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32CC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Представители СМП приняли участие в семинаре по участию субъектов предпринимательства в государственных закупках, организованном на площадке центра «Мой бизнес». </w:t>
      </w:r>
    </w:p>
    <w:p w:rsidR="00CF6896" w:rsidRDefault="00CF6896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1C40A9" w:rsidRDefault="001C40A9" w:rsidP="00CF689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Сведения о реализации мероприятий в разрезе задач Программы представлены в таблице: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1417"/>
        <w:gridCol w:w="1518"/>
      </w:tblGrid>
      <w:tr w:rsidR="001C40A9" w:rsidRPr="001C40A9" w:rsidTr="008216CD">
        <w:trPr>
          <w:trHeight w:val="322"/>
        </w:trPr>
        <w:tc>
          <w:tcPr>
            <w:tcW w:w="6629" w:type="dxa"/>
            <w:vMerge w:val="restart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Задачи Программы</w:t>
            </w:r>
          </w:p>
        </w:tc>
        <w:tc>
          <w:tcPr>
            <w:tcW w:w="2935" w:type="dxa"/>
            <w:gridSpan w:val="2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Число мероприятий</w:t>
            </w:r>
          </w:p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 год</w:t>
            </w:r>
          </w:p>
        </w:tc>
      </w:tr>
      <w:tr w:rsidR="001C40A9" w:rsidRPr="001C40A9" w:rsidTr="008216CD">
        <w:trPr>
          <w:trHeight w:val="473"/>
        </w:trPr>
        <w:tc>
          <w:tcPr>
            <w:tcW w:w="6629" w:type="dxa"/>
            <w:vMerge/>
          </w:tcPr>
          <w:p w:rsidR="001C40A9" w:rsidRPr="001C40A9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518" w:type="dxa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факт</w:t>
            </w:r>
          </w:p>
        </w:tc>
      </w:tr>
      <w:tr w:rsidR="001C40A9" w:rsidRPr="001C40A9" w:rsidTr="008216CD">
        <w:trPr>
          <w:trHeight w:val="1699"/>
        </w:trPr>
        <w:tc>
          <w:tcPr>
            <w:tcW w:w="6629" w:type="dxa"/>
          </w:tcPr>
          <w:p w:rsidR="001C40A9" w:rsidRPr="001C40A9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1. Участие в совершенствовании нормативно правового, организационного и инфраструктурного обеспечения инвестиционной деятельности на территории города Рубцовска в рамках регионального, федерального законодательства.</w:t>
            </w:r>
          </w:p>
        </w:tc>
        <w:tc>
          <w:tcPr>
            <w:tcW w:w="1417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8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C40A9" w:rsidRPr="001C40A9" w:rsidTr="008216CD">
        <w:trPr>
          <w:trHeight w:val="852"/>
        </w:trPr>
        <w:tc>
          <w:tcPr>
            <w:tcW w:w="6629" w:type="dxa"/>
          </w:tcPr>
          <w:p w:rsidR="001C40A9" w:rsidRPr="001C40A9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2. Участие в поддержке механизмов, обеспечивающих повышение инвестиционной привлекательности города Рубцовска.</w:t>
            </w:r>
          </w:p>
        </w:tc>
        <w:tc>
          <w:tcPr>
            <w:tcW w:w="1417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18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C40A9" w:rsidRPr="001C40A9" w:rsidTr="008216CD">
        <w:trPr>
          <w:trHeight w:val="322"/>
        </w:trPr>
        <w:tc>
          <w:tcPr>
            <w:tcW w:w="6629" w:type="dxa"/>
          </w:tcPr>
          <w:p w:rsidR="001C40A9" w:rsidRPr="001C40A9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3. Организация работы по формированию приоритетных направлений и факторов повышения   инвестиционной привлекательности города Рубцовска.</w:t>
            </w:r>
          </w:p>
        </w:tc>
        <w:tc>
          <w:tcPr>
            <w:tcW w:w="1417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8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C40A9" w:rsidRPr="001C40A9" w:rsidTr="008216CD">
        <w:trPr>
          <w:trHeight w:val="322"/>
        </w:trPr>
        <w:tc>
          <w:tcPr>
            <w:tcW w:w="6629" w:type="dxa"/>
          </w:tcPr>
          <w:p w:rsidR="001C40A9" w:rsidRPr="001C40A9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4. Содействие повышению степени обеспеченности ресурсами и инфраструктурой процессов инвестиционной деятельности в городе Рубцовске.</w:t>
            </w:r>
          </w:p>
        </w:tc>
        <w:tc>
          <w:tcPr>
            <w:tcW w:w="1417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8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C40A9" w:rsidRPr="001C40A9" w:rsidTr="008216CD">
        <w:trPr>
          <w:trHeight w:val="322"/>
        </w:trPr>
        <w:tc>
          <w:tcPr>
            <w:tcW w:w="6629" w:type="dxa"/>
          </w:tcPr>
          <w:p w:rsidR="001C40A9" w:rsidRPr="001C40A9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5. Создание условий для развития конкуренции на приоритетных и социально значимых рынках города Рубцовска.</w:t>
            </w:r>
          </w:p>
        </w:tc>
        <w:tc>
          <w:tcPr>
            <w:tcW w:w="1417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18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C40A9" w:rsidRPr="001C40A9" w:rsidTr="008216CD">
        <w:trPr>
          <w:trHeight w:val="322"/>
        </w:trPr>
        <w:tc>
          <w:tcPr>
            <w:tcW w:w="6629" w:type="dxa"/>
          </w:tcPr>
          <w:p w:rsidR="001C40A9" w:rsidRPr="001C40A9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6. Организация и проведение системных мероприятий, направленных на развитие конкурентной среды.</w:t>
            </w:r>
          </w:p>
        </w:tc>
        <w:tc>
          <w:tcPr>
            <w:tcW w:w="1417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8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C40A9" w:rsidRPr="001C40A9" w:rsidTr="008216CD">
        <w:trPr>
          <w:trHeight w:val="683"/>
        </w:trPr>
        <w:tc>
          <w:tcPr>
            <w:tcW w:w="6629" w:type="dxa"/>
          </w:tcPr>
          <w:p w:rsidR="001C40A9" w:rsidRPr="001C40A9" w:rsidRDefault="00220645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1C40A9"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18" w:type="dxa"/>
            <w:vAlign w:val="center"/>
          </w:tcPr>
          <w:p w:rsidR="001C40A9" w:rsidRPr="001C40A9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</w:tbl>
    <w:p w:rsidR="004C4877" w:rsidRPr="001C40A9" w:rsidRDefault="004C4877" w:rsidP="004C487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По итогам реализации Программы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запланированные мероприятия выполнены на 64,7%.</w:t>
      </w:r>
    </w:p>
    <w:p w:rsidR="00790A93" w:rsidRPr="00563247" w:rsidRDefault="00790A93" w:rsidP="004C4877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247">
        <w:rPr>
          <w:rFonts w:ascii="Times New Roman" w:hAnsi="Times New Roman"/>
          <w:sz w:val="28"/>
          <w:szCs w:val="28"/>
        </w:rPr>
        <w:t>Результаты реализации Программы в 2019 году выражается через качественные и количественные показатели</w:t>
      </w:r>
      <w:r w:rsidR="004C4877" w:rsidRPr="00563247">
        <w:rPr>
          <w:rFonts w:ascii="Times New Roman" w:hAnsi="Times New Roman"/>
          <w:sz w:val="28"/>
          <w:szCs w:val="28"/>
        </w:rPr>
        <w:t>, а именно:</w:t>
      </w:r>
    </w:p>
    <w:p w:rsidR="004C4877" w:rsidRPr="00563247" w:rsidRDefault="004C4877" w:rsidP="004C48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3247">
        <w:rPr>
          <w:rFonts w:ascii="Times New Roman" w:hAnsi="Times New Roman"/>
          <w:sz w:val="28"/>
          <w:szCs w:val="28"/>
        </w:rPr>
        <w:lastRenderedPageBreak/>
        <w:t>1.</w:t>
      </w:r>
      <w:r w:rsidR="00563247">
        <w:rPr>
          <w:rFonts w:ascii="Times New Roman" w:hAnsi="Times New Roman"/>
          <w:sz w:val="28"/>
          <w:szCs w:val="28"/>
        </w:rPr>
        <w:t xml:space="preserve"> </w:t>
      </w:r>
      <w:r w:rsidRPr="00563247">
        <w:rPr>
          <w:rFonts w:ascii="Times New Roman" w:hAnsi="Times New Roman"/>
          <w:sz w:val="28"/>
          <w:szCs w:val="28"/>
        </w:rPr>
        <w:t>Объем инвестиций в основной капитал организаций, находящихся на территории городского округа без субъектов малого предпринимательства;</w:t>
      </w:r>
    </w:p>
    <w:p w:rsidR="004C4877" w:rsidRPr="00563247" w:rsidRDefault="004C4877" w:rsidP="004C4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247">
        <w:rPr>
          <w:rFonts w:ascii="Times New Roman" w:hAnsi="Times New Roman"/>
          <w:sz w:val="28"/>
          <w:szCs w:val="28"/>
        </w:rPr>
        <w:t>2.</w:t>
      </w:r>
      <w:r w:rsidR="00563247">
        <w:rPr>
          <w:rFonts w:ascii="Times New Roman" w:hAnsi="Times New Roman"/>
          <w:sz w:val="28"/>
          <w:szCs w:val="28"/>
        </w:rPr>
        <w:t xml:space="preserve"> </w:t>
      </w:r>
      <w:r w:rsidRPr="00563247">
        <w:rPr>
          <w:rFonts w:ascii="Times New Roman" w:hAnsi="Times New Roman"/>
          <w:sz w:val="28"/>
          <w:szCs w:val="28"/>
        </w:rPr>
        <w:t>Объем инвестиций в основной капитал организаций, находящихся на территории городского округа   без субъектов малого предпринимательства, на душу населения;</w:t>
      </w:r>
    </w:p>
    <w:p w:rsidR="004C4877" w:rsidRPr="00563247" w:rsidRDefault="004C4877" w:rsidP="004C4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247">
        <w:rPr>
          <w:rFonts w:ascii="Times New Roman" w:hAnsi="Times New Roman"/>
          <w:sz w:val="28"/>
          <w:szCs w:val="28"/>
        </w:rPr>
        <w:t>3.</w:t>
      </w:r>
      <w:r w:rsidR="00563247">
        <w:rPr>
          <w:rFonts w:ascii="Times New Roman" w:hAnsi="Times New Roman"/>
          <w:sz w:val="28"/>
          <w:szCs w:val="28"/>
        </w:rPr>
        <w:t xml:space="preserve"> </w:t>
      </w:r>
      <w:r w:rsidRPr="00563247">
        <w:rPr>
          <w:rFonts w:ascii="Times New Roman" w:hAnsi="Times New Roman"/>
          <w:sz w:val="28"/>
          <w:szCs w:val="28"/>
        </w:rPr>
        <w:t>Объем инвестиций на реализацию социально значимых инвестиционных проектов за счет всех источников финансирования;</w:t>
      </w:r>
    </w:p>
    <w:p w:rsidR="004C4877" w:rsidRPr="00563247" w:rsidRDefault="004C4877" w:rsidP="004C487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247">
        <w:rPr>
          <w:rFonts w:ascii="Times New Roman" w:hAnsi="Times New Roman"/>
          <w:sz w:val="28"/>
          <w:szCs w:val="28"/>
        </w:rPr>
        <w:t>4.</w:t>
      </w:r>
      <w:r w:rsidR="00563247">
        <w:rPr>
          <w:rFonts w:ascii="Times New Roman" w:hAnsi="Times New Roman"/>
          <w:sz w:val="28"/>
          <w:szCs w:val="28"/>
        </w:rPr>
        <w:t xml:space="preserve"> </w:t>
      </w:r>
      <w:r w:rsidRPr="00563247">
        <w:rPr>
          <w:rFonts w:ascii="Times New Roman" w:hAnsi="Times New Roman"/>
          <w:sz w:val="28"/>
          <w:szCs w:val="28"/>
        </w:rPr>
        <w:t>Количество инвестиционных проектов, реализуемых на территории</w:t>
      </w:r>
      <w:r w:rsidR="00563247">
        <w:rPr>
          <w:rFonts w:ascii="Times New Roman" w:hAnsi="Times New Roman"/>
          <w:sz w:val="28"/>
          <w:szCs w:val="28"/>
        </w:rPr>
        <w:t xml:space="preserve"> города Рубцовска</w:t>
      </w:r>
      <w:r w:rsidRPr="00563247">
        <w:rPr>
          <w:rFonts w:ascii="Times New Roman" w:hAnsi="Times New Roman"/>
          <w:sz w:val="28"/>
          <w:szCs w:val="28"/>
        </w:rPr>
        <w:t>;</w:t>
      </w:r>
    </w:p>
    <w:p w:rsidR="004C4877" w:rsidRPr="00563247" w:rsidRDefault="004C4877" w:rsidP="004C487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247">
        <w:rPr>
          <w:rFonts w:ascii="Times New Roman" w:hAnsi="Times New Roman"/>
          <w:sz w:val="28"/>
          <w:szCs w:val="28"/>
        </w:rPr>
        <w:t>5.</w:t>
      </w:r>
      <w:r w:rsidR="00563247">
        <w:rPr>
          <w:rFonts w:ascii="Times New Roman" w:hAnsi="Times New Roman"/>
          <w:sz w:val="28"/>
          <w:szCs w:val="28"/>
        </w:rPr>
        <w:t xml:space="preserve"> </w:t>
      </w:r>
      <w:r w:rsidRPr="00563247">
        <w:rPr>
          <w:rFonts w:ascii="Times New Roman" w:hAnsi="Times New Roman"/>
          <w:sz w:val="28"/>
          <w:szCs w:val="28"/>
        </w:rPr>
        <w:t xml:space="preserve">Площадь земельных участков, предоставленных для строительства, </w:t>
      </w:r>
    </w:p>
    <w:p w:rsidR="004C4877" w:rsidRPr="004C4877" w:rsidRDefault="00563247" w:rsidP="004C487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C4877" w:rsidRPr="00563247">
        <w:rPr>
          <w:rFonts w:ascii="Times New Roman" w:hAnsi="Times New Roman"/>
          <w:sz w:val="28"/>
          <w:szCs w:val="28"/>
        </w:rPr>
        <w:t xml:space="preserve">ыполнение которых составило </w:t>
      </w:r>
      <w:r w:rsidRPr="00563247">
        <w:rPr>
          <w:rFonts w:ascii="Times New Roman" w:hAnsi="Times New Roman"/>
          <w:sz w:val="28"/>
          <w:szCs w:val="28"/>
        </w:rPr>
        <w:t>40</w:t>
      </w:r>
      <w:r w:rsidR="002055FE">
        <w:rPr>
          <w:rFonts w:ascii="Times New Roman" w:hAnsi="Times New Roman"/>
          <w:sz w:val="28"/>
          <w:szCs w:val="28"/>
        </w:rPr>
        <w:t>,26</w:t>
      </w:r>
      <w:r w:rsidRPr="00563247">
        <w:rPr>
          <w:rFonts w:ascii="Times New Roman" w:hAnsi="Times New Roman"/>
          <w:sz w:val="28"/>
          <w:szCs w:val="28"/>
        </w:rPr>
        <w:t>%</w:t>
      </w:r>
      <w:r w:rsidR="004C4877" w:rsidRPr="00563247">
        <w:rPr>
          <w:rFonts w:ascii="Times New Roman" w:hAnsi="Times New Roman"/>
          <w:sz w:val="28"/>
          <w:szCs w:val="28"/>
        </w:rPr>
        <w:t>.</w:t>
      </w:r>
    </w:p>
    <w:p w:rsidR="001C40A9" w:rsidRPr="001C40A9" w:rsidRDefault="001C40A9" w:rsidP="00CF689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0DC">
        <w:rPr>
          <w:rFonts w:ascii="Times New Roman" w:hAnsi="Times New Roman"/>
          <w:color w:val="000000" w:themeColor="text1"/>
          <w:sz w:val="28"/>
          <w:szCs w:val="28"/>
        </w:rPr>
        <w:t xml:space="preserve">Согласно методике оценки эффективности муниципальных программ  комплексная оценка эффективности данной Программы за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2019</w:t>
      </w:r>
      <w:r w:rsidRPr="002630DC">
        <w:rPr>
          <w:rFonts w:ascii="Times New Roman" w:hAnsi="Times New Roman"/>
          <w:color w:val="000000" w:themeColor="text1"/>
          <w:sz w:val="28"/>
          <w:szCs w:val="28"/>
        </w:rPr>
        <w:t xml:space="preserve"> год составила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71,4%</w:t>
      </w:r>
      <w:r w:rsidRPr="002630DC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оценивается как средний уровень, так как эффективность  исполнения находится в диапазоне от 40 - 80%. 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Начальник отдела экономического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развития и ценообразования 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города Рубцовска 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ab/>
        <w:t>И.В. Пурыга</w:t>
      </w:r>
    </w:p>
    <w:p w:rsidR="001C40A9" w:rsidRDefault="001C40A9" w:rsidP="001C40A9">
      <w:pPr>
        <w:pStyle w:val="aa"/>
        <w:ind w:firstLine="639"/>
        <w:rPr>
          <w:rFonts w:ascii="Times New Roman" w:hAnsi="Times New Roman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1C40A9" w:rsidRDefault="001C40A9" w:rsidP="008216C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Расчет оценки эффективности муниципальной программы «Повышение инвестиционной привлекательности муниципального образования город Рубцовск Алтайского края» на 2018 -2020 годы</w:t>
      </w:r>
    </w:p>
    <w:p w:rsidR="001C40A9" w:rsidRPr="001C40A9" w:rsidRDefault="001C40A9" w:rsidP="008216C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за 2019 год</w:t>
      </w:r>
    </w:p>
    <w:p w:rsidR="001C40A9" w:rsidRPr="008216CD" w:rsidRDefault="001C40A9" w:rsidP="008216CD">
      <w:pPr>
        <w:pStyle w:val="ab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16CD">
        <w:rPr>
          <w:rFonts w:ascii="Times New Roman" w:hAnsi="Times New Roman"/>
          <w:color w:val="000000" w:themeColor="text1"/>
          <w:sz w:val="28"/>
          <w:szCs w:val="28"/>
        </w:rPr>
        <w:t xml:space="preserve">Оценка степени достижения целей и решения задач муниципальной программы: </w:t>
      </w:r>
    </w:p>
    <w:p w:rsidR="001C40A9" w:rsidRPr="00974F6D" w:rsidRDefault="001C40A9" w:rsidP="001C40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Cel</w:t>
      </w:r>
      <w:proofErr w:type="spellEnd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(1/m) * </w:t>
      </w:r>
      <w:proofErr w:type="gramStart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∑(</w:t>
      </w:r>
      <w:proofErr w:type="gramEnd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Si) = </w:t>
      </w:r>
      <w:r w:rsidR="004C4877" w:rsidRPr="00974F6D">
        <w:rPr>
          <w:rFonts w:ascii="Times New Roman" w:hAnsi="Times New Roman"/>
          <w:sz w:val="28"/>
          <w:szCs w:val="28"/>
          <w:lang w:val="en-US"/>
        </w:rPr>
        <w:t>1/5</w:t>
      </w:r>
      <w:r w:rsidR="008C0ABF" w:rsidRPr="00974F6D">
        <w:rPr>
          <w:rFonts w:ascii="Times New Roman" w:hAnsi="Times New Roman"/>
          <w:sz w:val="28"/>
          <w:szCs w:val="28"/>
          <w:lang w:val="en-US"/>
        </w:rPr>
        <w:t>*440,26=0,2*440,26=88,1%</w:t>
      </w:r>
    </w:p>
    <w:p w:rsidR="001C40A9" w:rsidRPr="00CE0ED0" w:rsidRDefault="001C40A9" w:rsidP="001C40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E0ED0">
        <w:rPr>
          <w:rFonts w:ascii="Times New Roman" w:hAnsi="Times New Roman"/>
          <w:color w:val="000000" w:themeColor="text1"/>
          <w:sz w:val="28"/>
          <w:szCs w:val="28"/>
          <w:lang w:val="en-US"/>
        </w:rPr>
        <w:t>m =</w:t>
      </w:r>
      <w:r w:rsidR="004C4877" w:rsidRPr="00CE0ED0">
        <w:rPr>
          <w:rFonts w:ascii="Times New Roman" w:hAnsi="Times New Roman"/>
          <w:sz w:val="28"/>
          <w:szCs w:val="28"/>
          <w:lang w:val="en-US"/>
        </w:rPr>
        <w:t>5</w:t>
      </w:r>
    </w:p>
    <w:p w:rsidR="001C40A9" w:rsidRPr="0068318F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68318F">
        <w:rPr>
          <w:color w:val="000000" w:themeColor="text1"/>
          <w:lang w:val="en-US"/>
        </w:rPr>
        <w:t>1</w:t>
      </w:r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1446</w:t>
      </w:r>
      <w:proofErr w:type="gramStart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,0</w:t>
      </w:r>
      <w:proofErr w:type="gramEnd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/890,0*100% = 162,5% ~ 100%</w:t>
      </w:r>
    </w:p>
    <w:p w:rsidR="001C40A9" w:rsidRPr="0068318F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68318F">
        <w:rPr>
          <w:color w:val="000000" w:themeColor="text1"/>
          <w:lang w:val="en-US"/>
        </w:rPr>
        <w:t xml:space="preserve">2 </w:t>
      </w:r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= 10144</w:t>
      </w:r>
      <w:proofErr w:type="gramStart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,0</w:t>
      </w:r>
      <w:proofErr w:type="gramEnd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/6159,0*100% = 164,7% ~ 100%</w:t>
      </w:r>
    </w:p>
    <w:p w:rsidR="001C40A9" w:rsidRPr="0068318F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68318F">
        <w:rPr>
          <w:color w:val="000000" w:themeColor="text1"/>
          <w:lang w:val="en-US"/>
        </w:rPr>
        <w:t>3</w:t>
      </w:r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129</w:t>
      </w:r>
      <w:proofErr w:type="gramStart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,9</w:t>
      </w:r>
      <w:proofErr w:type="gramEnd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/115,0*100% = </w:t>
      </w:r>
      <w:r w:rsidR="00CE0ED0" w:rsidRPr="002055FE">
        <w:rPr>
          <w:rFonts w:ascii="Times New Roman" w:hAnsi="Times New Roman"/>
          <w:color w:val="000000" w:themeColor="text1"/>
          <w:sz w:val="28"/>
          <w:szCs w:val="28"/>
          <w:lang w:val="en-US"/>
        </w:rPr>
        <w:t>112,96</w:t>
      </w:r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% ~ 100%</w:t>
      </w:r>
    </w:p>
    <w:p w:rsidR="001C40A9" w:rsidRPr="0068318F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68318F">
        <w:rPr>
          <w:color w:val="000000" w:themeColor="text1"/>
          <w:lang w:val="en-US"/>
        </w:rPr>
        <w:t>4</w:t>
      </w:r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33/15*100% = 220% ~ 100% 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S</w:t>
      </w:r>
      <w:r w:rsidRPr="001C40A9">
        <w:rPr>
          <w:color w:val="000000" w:themeColor="text1"/>
        </w:rPr>
        <w:t xml:space="preserve">5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= 48,31/120*100% = 40,26% 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Cel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=0,2*(100+100+100+100+40,26) = 88,1%</w:t>
      </w:r>
    </w:p>
    <w:p w:rsidR="001C40A9" w:rsidRPr="008216CD" w:rsidRDefault="001C40A9" w:rsidP="008216CD">
      <w:pPr>
        <w:pStyle w:val="ab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16CD">
        <w:rPr>
          <w:rFonts w:ascii="Times New Roman" w:hAnsi="Times New Roman"/>
          <w:color w:val="000000" w:themeColor="text1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Fin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= K / L*100% = 20,9/34,0*100% = 61,5%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1C40A9" w:rsidRDefault="001C40A9" w:rsidP="00CA214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3. Оценка степени реализации мероприятий  муниципальной программы: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Mer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= (1/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n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>) * (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Rj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>*100%) = (1/17)*(11*100%) = 64,7%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n = 17, где n - количество мероприятий по Программе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j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- номер мероприятий по Программе 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R j = R</w:t>
      </w:r>
      <w:r w:rsidRPr="001C40A9">
        <w:rPr>
          <w:rFonts w:ascii="Times New Roman" w:hAnsi="Times New Roman"/>
          <w:color w:val="000000" w:themeColor="text1"/>
        </w:rPr>
        <w:t>1.1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1.2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1.3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1C40A9">
        <w:rPr>
          <w:rFonts w:ascii="Times New Roman" w:hAnsi="Times New Roman"/>
          <w:color w:val="000000" w:themeColor="text1"/>
        </w:rPr>
        <w:t xml:space="preserve"> 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R</w:t>
      </w:r>
      <w:r w:rsidRPr="001C40A9">
        <w:rPr>
          <w:rFonts w:ascii="Times New Roman" w:hAnsi="Times New Roman"/>
          <w:color w:val="000000" w:themeColor="text1"/>
        </w:rPr>
        <w:t xml:space="preserve">2.1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 xml:space="preserve">2.2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1C40A9">
        <w:rPr>
          <w:rFonts w:ascii="Times New Roman" w:hAnsi="Times New Roman"/>
          <w:color w:val="000000" w:themeColor="text1"/>
        </w:rPr>
        <w:t xml:space="preserve">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R</w:t>
      </w:r>
      <w:r w:rsidRPr="001C40A9">
        <w:rPr>
          <w:rFonts w:ascii="Times New Roman" w:hAnsi="Times New Roman"/>
          <w:color w:val="000000" w:themeColor="text1"/>
        </w:rPr>
        <w:t xml:space="preserve">2.3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 xml:space="preserve">2.4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3.1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3.2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4.1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4.2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5.1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+ + R</w:t>
      </w:r>
      <w:r w:rsidRPr="001C40A9">
        <w:rPr>
          <w:rFonts w:ascii="Times New Roman" w:hAnsi="Times New Roman"/>
          <w:color w:val="000000" w:themeColor="text1"/>
        </w:rPr>
        <w:t xml:space="preserve">5.2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5.3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5.4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6.1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+ R</w:t>
      </w:r>
      <w:r w:rsidRPr="001C40A9">
        <w:rPr>
          <w:rFonts w:ascii="Times New Roman" w:hAnsi="Times New Roman"/>
          <w:color w:val="000000" w:themeColor="text1"/>
        </w:rPr>
        <w:t>6.2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R j = 1+0+1+1+1+1+1+0+0+1+0+1+0+0+1+1+1=11</w:t>
      </w:r>
    </w:p>
    <w:p w:rsidR="001C40A9" w:rsidRPr="001C40A9" w:rsidRDefault="001C40A9" w:rsidP="00CA214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4. Комплексная оценка эффективности реализации муниципальной    программы: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   O = (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Cel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+ 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Fin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+ 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Mer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>)/3 = (88,1%+61,5%+64,7%)/3 = 71,4%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1C40A9" w:rsidRDefault="001C40A9" w:rsidP="00CA214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Т.к. комплексная оценка эффективности реализации муниципальной программы составила 71,4%, муниципальная программа считается реализуемой со  средним уровнем эффективности.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2DCD" w:rsidRPr="001C40A9" w:rsidRDefault="00072DCD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072DCD" w:rsidRPr="001C40A9" w:rsidSect="007F43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A7A06"/>
    <w:multiLevelType w:val="hybridMultilevel"/>
    <w:tmpl w:val="305E0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122F7"/>
    <w:multiLevelType w:val="hybridMultilevel"/>
    <w:tmpl w:val="5A84E2DE"/>
    <w:lvl w:ilvl="0" w:tplc="93CA35C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0A9"/>
    <w:rsid w:val="0000427D"/>
    <w:rsid w:val="00072DCD"/>
    <w:rsid w:val="001C40A9"/>
    <w:rsid w:val="002055FE"/>
    <w:rsid w:val="00220645"/>
    <w:rsid w:val="004C4877"/>
    <w:rsid w:val="00563247"/>
    <w:rsid w:val="0068318F"/>
    <w:rsid w:val="0074032F"/>
    <w:rsid w:val="00790A93"/>
    <w:rsid w:val="007F4387"/>
    <w:rsid w:val="008216CD"/>
    <w:rsid w:val="008C0ABF"/>
    <w:rsid w:val="00974F6D"/>
    <w:rsid w:val="00A71D87"/>
    <w:rsid w:val="00AA7BB5"/>
    <w:rsid w:val="00B32EF4"/>
    <w:rsid w:val="00CA2144"/>
    <w:rsid w:val="00CD350B"/>
    <w:rsid w:val="00CE0ED0"/>
    <w:rsid w:val="00CE413B"/>
    <w:rsid w:val="00CF6896"/>
    <w:rsid w:val="00D12AE6"/>
    <w:rsid w:val="00D80D72"/>
    <w:rsid w:val="00DD4297"/>
    <w:rsid w:val="00E733D1"/>
    <w:rsid w:val="00EA5890"/>
    <w:rsid w:val="00F3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A9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33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1B6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31B6"/>
    <w:rPr>
      <w:rFonts w:asciiTheme="majorHAnsi" w:eastAsiaTheme="majorEastAsia" w:hAnsiTheme="majorHAnsi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331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3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31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331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331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31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31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3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331B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31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331B6"/>
    <w:rPr>
      <w:b/>
      <w:bCs/>
    </w:rPr>
  </w:style>
  <w:style w:type="character" w:styleId="a9">
    <w:name w:val="Emphasis"/>
    <w:basedOn w:val="a0"/>
    <w:uiPriority w:val="20"/>
    <w:qFormat/>
    <w:rsid w:val="00F331B6"/>
    <w:rPr>
      <w:i/>
      <w:iCs/>
    </w:rPr>
  </w:style>
  <w:style w:type="paragraph" w:styleId="aa">
    <w:name w:val="No Spacing"/>
    <w:basedOn w:val="a"/>
    <w:uiPriority w:val="1"/>
    <w:qFormat/>
    <w:rsid w:val="00F331B6"/>
    <w:pPr>
      <w:spacing w:line="240" w:lineRule="auto"/>
    </w:pPr>
  </w:style>
  <w:style w:type="paragraph" w:styleId="ab">
    <w:name w:val="List Paragraph"/>
    <w:basedOn w:val="a"/>
    <w:qFormat/>
    <w:rsid w:val="00F331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31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331B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331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331B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331B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331B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331B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331B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331B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331B6"/>
    <w:pPr>
      <w:outlineLvl w:val="9"/>
    </w:pPr>
  </w:style>
  <w:style w:type="paragraph" w:styleId="af4">
    <w:name w:val="Normal (Web)"/>
    <w:basedOn w:val="a"/>
    <w:rsid w:val="001C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basedOn w:val="a0"/>
    <w:rsid w:val="001C40A9"/>
  </w:style>
  <w:style w:type="paragraph" w:customStyle="1" w:styleId="p17">
    <w:name w:val="p17"/>
    <w:basedOn w:val="a"/>
    <w:rsid w:val="001C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1C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rsid w:val="001C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5">
    <w:name w:val="Table Grid"/>
    <w:basedOn w:val="a1"/>
    <w:rsid w:val="00790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Лейла Муссаевна Перова</cp:lastModifiedBy>
  <cp:revision>2</cp:revision>
  <cp:lastPrinted>2020-03-06T01:08:00Z</cp:lastPrinted>
  <dcterms:created xsi:type="dcterms:W3CDTF">2020-03-11T01:33:00Z</dcterms:created>
  <dcterms:modified xsi:type="dcterms:W3CDTF">2020-03-11T01:33:00Z</dcterms:modified>
</cp:coreProperties>
</file>