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8701CA" w:rsidRPr="00236CAB" w:rsidRDefault="00236CAB" w:rsidP="00236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Pr="00236CA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15.12.2023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№</w:t>
      </w:r>
      <w:r w:rsidRPr="00236CA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4211        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1174D3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 xml:space="preserve">»,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</w:t>
      </w:r>
      <w:r w:rsidR="00634676">
        <w:rPr>
          <w:rFonts w:ascii="Times New Roman" w:hAnsi="Times New Roman"/>
          <w:sz w:val="26"/>
          <w:szCs w:val="26"/>
        </w:rPr>
        <w:t xml:space="preserve"> Алтайского края</w:t>
      </w:r>
      <w:r w:rsidR="000722B9" w:rsidRPr="00722DED">
        <w:rPr>
          <w:rFonts w:ascii="Times New Roman" w:hAnsi="Times New Roman"/>
          <w:sz w:val="26"/>
          <w:szCs w:val="26"/>
        </w:rPr>
        <w:t xml:space="preserve">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04129D">
        <w:rPr>
          <w:rFonts w:ascii="Times New Roman" w:hAnsi="Times New Roman"/>
          <w:sz w:val="26"/>
          <w:szCs w:val="26"/>
        </w:rPr>
        <w:t>,</w:t>
      </w:r>
      <w:r w:rsidR="00C17893">
        <w:rPr>
          <w:rFonts w:ascii="Times New Roman" w:hAnsi="Times New Roman"/>
          <w:sz w:val="26"/>
          <w:szCs w:val="26"/>
        </w:rPr>
        <w:t xml:space="preserve"> руководствуясь распоряжением Администрации города Рубцовска Алтайского края от 24.11.2023 № 811л,</w:t>
      </w:r>
      <w:r w:rsidR="0004129D">
        <w:rPr>
          <w:rFonts w:ascii="Times New Roman" w:hAnsi="Times New Roman"/>
          <w:sz w:val="26"/>
          <w:szCs w:val="26"/>
        </w:rPr>
        <w:t xml:space="preserve">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:rsidR="000722B9" w:rsidRDefault="00690213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717A0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:rsidR="000722B9" w:rsidRDefault="00DA4939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Программу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 w:rsidR="007717A0">
        <w:rPr>
          <w:rFonts w:ascii="Times New Roman" w:hAnsi="Times New Roman" w:cs="Times New Roman"/>
          <w:sz w:val="26"/>
          <w:szCs w:val="26"/>
        </w:rPr>
        <w:t>края на 2024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</w:t>
      </w:r>
      <w:r w:rsidR="00EF2487" w:rsidRPr="00EF2487">
        <w:rPr>
          <w:rFonts w:ascii="Times New Roman" w:hAnsi="Times New Roman" w:cs="Times New Roman"/>
          <w:sz w:val="26"/>
          <w:szCs w:val="26"/>
        </w:rPr>
        <w:lastRenderedPageBreak/>
        <w:t>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P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– </w:t>
      </w:r>
    </w:p>
    <w:p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комитета по финансам, </w:t>
      </w:r>
    </w:p>
    <w:p w:rsidR="00E16C7F" w:rsidRDefault="00E16C7F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В.И. Пьянков</w:t>
      </w:r>
    </w:p>
    <w:p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35334">
        <w:rPr>
          <w:rFonts w:ascii="Times New Roman" w:hAnsi="Times New Roman" w:cs="Times New Roman"/>
          <w:sz w:val="26"/>
          <w:szCs w:val="26"/>
        </w:rPr>
        <w:t xml:space="preserve"> ____________ № ____________</w:t>
      </w: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DD7117">
        <w:rPr>
          <w:rFonts w:ascii="Times New Roman" w:hAnsi="Times New Roman" w:cs="Times New Roman"/>
          <w:sz w:val="26"/>
          <w:szCs w:val="26"/>
        </w:rPr>
        <w:t>о края на 2024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DD7117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7FA">
        <w:rPr>
          <w:rFonts w:ascii="Times New Roman" w:hAnsi="Times New Roman" w:cs="Times New Roman"/>
          <w:sz w:val="26"/>
          <w:szCs w:val="26"/>
        </w:rPr>
        <w:t>контроля)</w:t>
      </w:r>
      <w:r w:rsidRPr="004B7ACD">
        <w:rPr>
          <w:rFonts w:ascii="Times New Roman" w:hAnsi="Times New Roman" w:cs="Times New Roman"/>
          <w:sz w:val="26"/>
          <w:szCs w:val="26"/>
        </w:rPr>
        <w:t xml:space="preserve">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0972" w:rsidRPr="00460176" w:rsidTr="002C5EE8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E778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DD71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Рубцовск Алтайского края на 2024</w:t>
            </w: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DC0972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25.06.2021 №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:rsidTr="00B83BB5">
        <w:trPr>
          <w:trHeight w:val="37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5132B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 xml:space="preserve">, энергетике, транспорту и дорожному </w:t>
            </w:r>
            <w:r w:rsidRPr="00460176">
              <w:rPr>
                <w:rFonts w:ascii="Times New Roman" w:hAnsi="Times New Roman"/>
                <w:sz w:val="24"/>
                <w:szCs w:val="24"/>
              </w:rPr>
              <w:lastRenderedPageBreak/>
              <w:t>хозяйству</w:t>
            </w:r>
            <w:r w:rsidR="006058A0">
              <w:rPr>
                <w:rFonts w:ascii="Times New Roman" w:hAnsi="Times New Roman"/>
                <w:sz w:val="24"/>
                <w:szCs w:val="24"/>
              </w:rPr>
              <w:t>, у</w:t>
            </w:r>
            <w:r w:rsidR="00001A7B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Алтайского края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лищно-коммунальному хозяйству и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экологии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6432" w:rsidRDefault="004D6432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1D21" w:rsidRPr="0040224A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Предупреждение нарушений обязательных требований</w:t>
            </w:r>
            <w:r w:rsid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области использования автомобильных дорог и осуществления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  <w:p w:rsid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рушений обязательных требований.</w:t>
            </w:r>
          </w:p>
          <w:p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охраняемым законом ценностям.</w:t>
            </w:r>
          </w:p>
          <w:p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моделей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ответственного,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добросовестного,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вового поведения контролируемых </w:t>
            </w:r>
            <w:r w:rsidR="00D77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лиц.</w:t>
            </w:r>
          </w:p>
          <w:p w:rsidR="00DC0972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прозрачности, результативности и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системы контрольно-надзорной деятельности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возможной угрозы причинения, либо 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 (жизнь и здоровье граждан, обеспечение прав,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законных 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нтересов граждан,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организаций),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еализация профилактических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способствующих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ее снижению.</w:t>
            </w:r>
          </w:p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ф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акторов угрозы причинения, либо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(ущерба), причин и условий, способствующих нарушению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обязательных требований,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способов устранения или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снижения угрозы.</w:t>
            </w:r>
          </w:p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подконтрольной среды и установление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зависимости видов, форм и интенсивности профилактических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 от присвоенных контролируемым лицам категорий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риска.</w:t>
            </w:r>
          </w:p>
          <w:p w:rsidR="00690B2C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изменения ценностного отношения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контролируемых лиц к рисковому поведению, формирования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позитивной ответственности за свое поведение, поддержания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мотивации к добросовестному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поведению.</w:t>
            </w:r>
          </w:p>
          <w:p w:rsidR="00DC0972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Регулярная ревизия обя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зательных требований и принятие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обеспечению реального влияния на подконтрольную сферу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 обязательных требований, соблюдение которых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составляет предмет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единого понимания обязательных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всех 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участников контрольно-надзорной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 внедрение мер системы позитивной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профилактики;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правовой грамотности контролируемых лиц,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 путем обеспечения доступности 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обязательных требованиях и необходимых мерах по их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исполнению.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Снижение издержек контрольно-надзорной деятельности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административной нагрузки на контролируемых лиц.</w:t>
            </w:r>
          </w:p>
          <w:p w:rsidR="00690B2C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требованиях и необходимых мерах по их исполнению</w:t>
            </w:r>
          </w:p>
        </w:tc>
      </w:tr>
      <w:tr w:rsidR="00DC0972" w:rsidRPr="00460176" w:rsidTr="002C5EE8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реализации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FF1ED7" w:rsidP="006C3199">
            <w:p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Ожидаемые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числа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нтролируемых лиц, соблюдающих в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сфере автомобильного транспорта, городского наземного электрического транспорта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 области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автомобильных дорог и осуществления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</w:tc>
      </w:tr>
    </w:tbl>
    <w:p w:rsidR="00B2683B" w:rsidRPr="00C17893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  <w:r w:rsidR="00E3467A">
        <w:rPr>
          <w:rFonts w:ascii="Times New Roman" w:hAnsi="Times New Roman" w:cs="Times New Roman"/>
          <w:sz w:val="26"/>
          <w:szCs w:val="26"/>
        </w:rPr>
        <w:t>.</w:t>
      </w:r>
    </w:p>
    <w:p w:rsidR="00DF6AB1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63D2">
        <w:rPr>
          <w:rFonts w:ascii="Times New Roman" w:hAnsi="Times New Roman" w:cs="Times New Roman"/>
          <w:sz w:val="26"/>
          <w:szCs w:val="26"/>
        </w:rPr>
        <w:t>Анализ теку</w:t>
      </w:r>
      <w:r w:rsidR="00CA7DA9">
        <w:rPr>
          <w:rFonts w:ascii="Times New Roman" w:hAnsi="Times New Roman" w:cs="Times New Roman"/>
          <w:sz w:val="26"/>
          <w:szCs w:val="26"/>
        </w:rPr>
        <w:t>щего состояния осуществления</w:t>
      </w:r>
      <w:r w:rsidRPr="000563D2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контроля, </w:t>
      </w:r>
      <w:r w:rsidRPr="000563D2">
        <w:rPr>
          <w:rFonts w:ascii="Times New Roman" w:hAnsi="Times New Roman" w:cs="Times New Roman"/>
          <w:sz w:val="26"/>
          <w:szCs w:val="26"/>
        </w:rPr>
        <w:t>описание текущего уровня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>профилактич</w:t>
      </w:r>
      <w:r>
        <w:rPr>
          <w:rFonts w:ascii="Times New Roman" w:hAnsi="Times New Roman" w:cs="Times New Roman"/>
          <w:sz w:val="26"/>
          <w:szCs w:val="26"/>
        </w:rPr>
        <w:t>еской деятельности</w:t>
      </w:r>
      <w:r w:rsidR="00CA7DA9">
        <w:rPr>
          <w:rFonts w:ascii="Times New Roman" w:hAnsi="Times New Roman" w:cs="Times New Roman"/>
          <w:sz w:val="26"/>
          <w:szCs w:val="26"/>
        </w:rPr>
        <w:t xml:space="preserve"> </w:t>
      </w:r>
      <w:r w:rsidR="00E17E18">
        <w:rPr>
          <w:rFonts w:ascii="Times New Roman" w:hAnsi="Times New Roman" w:cs="Times New Roman"/>
          <w:sz w:val="26"/>
          <w:szCs w:val="26"/>
        </w:rPr>
        <w:t>контрольных (надзорных) органов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63D2">
        <w:rPr>
          <w:rFonts w:ascii="Times New Roman" w:hAnsi="Times New Roman" w:cs="Times New Roman"/>
          <w:sz w:val="26"/>
          <w:szCs w:val="26"/>
        </w:rPr>
        <w:t>на решение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 xml:space="preserve">направлена </w:t>
      </w:r>
      <w:r w:rsidR="00CA7DA9"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:rsidR="00E40CD4" w:rsidRPr="00C17893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1B4" w:rsidRPr="00E3467A" w:rsidRDefault="00D87CDA" w:rsidP="001C701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 w:rsidRPr="00E3467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 xml:space="preserve"> (далее – город Рубцовск).</w:t>
      </w:r>
    </w:p>
    <w:p w:rsidR="00B02E78" w:rsidRPr="00E3467A" w:rsidRDefault="008913A6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="00B02E78" w:rsidRPr="00E3467A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02E78" w:rsidRPr="00B02E78" w:rsidRDefault="00E3467A" w:rsidP="00E346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</w:p>
    <w:p w:rsidR="00B02E78" w:rsidRPr="00B02E78" w:rsidRDefault="00E3467A" w:rsidP="00E346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016A" w:rsidRDefault="008E1332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01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 физические и юридические лиц</w:t>
      </w:r>
      <w:r w:rsidR="00355B39" w:rsidRP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автомобильного транспорта и городского наземного электрического транспорта, автомобильных дорог, дорожной деятельности на территории город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Рубцовск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 при осуществлении муниципального контроля проводятся следующие профилактические мероприятия: информирование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 w:rsidR="000C46E9" w:rsidRPr="00407B6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</w:t>
      </w:r>
      <w:r w:rsidR="00C40442" w:rsidRPr="00407B60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 w:rsidRPr="00407B60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 w:rsidRPr="00407B60">
        <w:rPr>
          <w:rFonts w:ascii="Times New Roman" w:eastAsia="Times New Roman" w:hAnsi="Times New Roman" w:cs="Times New Roman"/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>в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году плановые контрольные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>в отношении индивидуальных предпринимателей, предприятий и</w:t>
      </w:r>
      <w:r w:rsidR="00E6302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не проводились.</w:t>
      </w:r>
    </w:p>
    <w:p w:rsidR="00E12D33" w:rsidRDefault="0028239A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Комитетом и Управлением осуществлялись мероприятия по профилактике таких нарушений в рамках программы профилактики рисков причинения вреда (ущерба)  охраняемым законом ценностям при осуществлении муниципального контроля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 xml:space="preserve"> на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 xml:space="preserve"> – информирование.</w:t>
      </w:r>
    </w:p>
    <w:p w:rsidR="0028239A" w:rsidRPr="00407B60" w:rsidRDefault="0028239A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407B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повышению ответственности </w:t>
      </w:r>
      <w:r w:rsidR="00EC2DEB" w:rsidRPr="00407B60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контролируемых, иных заинтересованных лиц </w:t>
      </w:r>
      <w:r w:rsidR="00FA771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:rsidR="00D636A7" w:rsidRPr="00C17893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  <w:r w:rsidR="00500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Цели и задачи реализации Программы профилактики</w:t>
      </w:r>
    </w:p>
    <w:p w:rsidR="00D636A7" w:rsidRPr="00C17893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8740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740D3" w:rsidRPr="00C178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Целями реализации Программы профилактики являются: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</w:t>
      </w:r>
      <w:r w:rsidR="00C97981">
        <w:rPr>
          <w:rFonts w:ascii="Times New Roman" w:eastAsia="Times New Roman" w:hAnsi="Times New Roman"/>
          <w:color w:val="000000"/>
          <w:sz w:val="26"/>
          <w:szCs w:val="26"/>
        </w:rPr>
        <w:t>розы причинения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:rsid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:rsidR="00BF20E3" w:rsidRPr="001F1695" w:rsidRDefault="00AE43A0" w:rsidP="001F1695">
      <w:pPr>
        <w:pStyle w:val="a3"/>
        <w:tabs>
          <w:tab w:val="left" w:pos="1276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="001F1695" w:rsidRPr="001F16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Задачами реализации Программы профилактики являются:</w:t>
      </w:r>
    </w:p>
    <w:p w:rsidR="0006194D" w:rsidRPr="0006194D" w:rsidRDefault="0006194D" w:rsidP="001F169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ыявл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ение факторов угрозы причинения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:rsidR="0006194D" w:rsidRPr="0006194D" w:rsidRDefault="0006194D" w:rsidP="007F3B9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:rsidR="0006194D" w:rsidRPr="00C17893" w:rsidRDefault="0006194D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5B3989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976CCA" w:rsidRPr="00C17893" w:rsidRDefault="00976CCA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6E47E7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профилактические мероприятия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, указанные в таблице 1.</w:t>
      </w:r>
    </w:p>
    <w:p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7B4807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:rsidR="005B3989" w:rsidRDefault="004A7073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:rsidR="0008530A" w:rsidRDefault="0008530A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3034"/>
        <w:gridCol w:w="2188"/>
        <w:gridCol w:w="2256"/>
      </w:tblGrid>
      <w:tr w:rsidR="00A72E42" w:rsidRPr="00A72E42" w:rsidTr="00A72E42">
        <w:tc>
          <w:tcPr>
            <w:tcW w:w="2093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A72E42" w:rsidTr="00205C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8530A" w:rsidRPr="00A72E42" w:rsidTr="00205C29">
        <w:trPr>
          <w:trHeight w:val="14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0A" w:rsidRPr="00A72E42" w:rsidRDefault="0008530A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tcBorders>
              <w:left w:val="single" w:sz="4" w:space="0" w:color="auto"/>
            </w:tcBorders>
          </w:tcPr>
          <w:p w:rsidR="0008530A" w:rsidRPr="00A72E42" w:rsidRDefault="0008530A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Алтайского края в информационно-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телекоммуникационной сети «Интернет»: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08530A" w:rsidRDefault="0008530A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A" w:rsidRPr="00A72E42" w:rsidRDefault="0008530A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6B55A6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6B55A6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6B55A6" w:rsidRPr="00A72E42" w:rsidTr="00736A7F">
        <w:trPr>
          <w:trHeight w:val="1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A6" w:rsidRPr="00A72E42" w:rsidRDefault="006B55A6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 w:val="restart"/>
            <w:tcBorders>
              <w:left w:val="single" w:sz="4" w:space="0" w:color="auto"/>
            </w:tcBorders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а)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6B55A6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б) перечня критериев и индикаторов риска нарушения обязательных требований;</w:t>
            </w:r>
          </w:p>
          <w:p w:rsidR="006B55A6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в) программы профилактики рисков причинения вреда (ущерба) охраняемым законом ценностям;</w:t>
            </w: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г) проверочных листов.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</w:tcPr>
          <w:p w:rsidR="006B55A6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736A7F">
        <w:trPr>
          <w:trHeight w:val="8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:rsidR="006B55A6" w:rsidRPr="00A72E42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736A7F">
        <w:trPr>
          <w:trHeight w:val="8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A72E42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позднее 20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декабря предшествующего года</w:t>
            </w:r>
          </w:p>
        </w:tc>
      </w:tr>
      <w:tr w:rsidR="006B55A6" w:rsidRPr="00A72E42" w:rsidTr="00C9702C">
        <w:trPr>
          <w:trHeight w:val="8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7F3B93" w:rsidRPr="00A72E42" w:rsidTr="00796D6A">
        <w:trPr>
          <w:trHeight w:val="7428"/>
        </w:trPr>
        <w:tc>
          <w:tcPr>
            <w:tcW w:w="2093" w:type="dxa"/>
            <w:tcBorders>
              <w:top w:val="single" w:sz="4" w:space="0" w:color="auto"/>
            </w:tcBorders>
          </w:tcPr>
          <w:p w:rsidR="007F3B93" w:rsidRPr="00A72E42" w:rsidRDefault="007F3B93" w:rsidP="007F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Обобщение</w:t>
            </w:r>
          </w:p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</w:tcPr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информационно-телекоммуникационной сети «Интернет» 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зникновению указанных нарушений.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Default="007F3B93" w:rsidP="00796D6A">
            <w:pPr>
              <w:pStyle w:val="a3"/>
              <w:tabs>
                <w:tab w:val="left" w:pos="2818"/>
              </w:tabs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3B93" w:rsidRPr="007B4807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Подготовка, утверждение и размещение на официальном са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йте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</w:p>
          <w:p w:rsidR="007F3B93" w:rsidRPr="007B4807" w:rsidRDefault="007F3B9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"Интернет" доклада о 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рактики по итогам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88" w:type="dxa"/>
          </w:tcPr>
          <w:p w:rsidR="007F3B93" w:rsidRPr="00A72E42" w:rsidRDefault="007F3B9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 муниципального  контроля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7F3B93" w:rsidRPr="00A72E42" w:rsidRDefault="007F3B9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073E42" w:rsidRPr="00A72E42" w:rsidTr="00796D6A">
        <w:trPr>
          <w:trHeight w:val="2403"/>
        </w:trPr>
        <w:tc>
          <w:tcPr>
            <w:tcW w:w="2093" w:type="dxa"/>
          </w:tcPr>
          <w:p w:rsidR="00073E42" w:rsidRPr="00A72E42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Объявление</w:t>
            </w:r>
          </w:p>
          <w:p w:rsidR="00073E42" w:rsidRPr="00A72E42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</w:tcPr>
          <w:p w:rsidR="00073E42" w:rsidRPr="00A72E42" w:rsidRDefault="00073E42" w:rsidP="00796D6A">
            <w:pPr>
              <w:pStyle w:val="a3"/>
              <w:ind w:left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Направление контролируемому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 xml:space="preserve">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:rsidR="00073E42" w:rsidRPr="00A72E42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  <w:p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73E42" w:rsidRPr="00A72E42" w:rsidRDefault="00073E42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7F3B93" w:rsidRPr="00A72E42" w:rsidTr="007F3B93">
        <w:trPr>
          <w:trHeight w:val="317"/>
        </w:trPr>
        <w:tc>
          <w:tcPr>
            <w:tcW w:w="2093" w:type="dxa"/>
            <w:vAlign w:val="center"/>
          </w:tcPr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:rsidR="007F3B93" w:rsidRPr="00A72E42" w:rsidRDefault="007F3B93" w:rsidP="00736A7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7F3B93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0A4F03" w:rsidRPr="00A72E42" w:rsidTr="00796D6A">
        <w:trPr>
          <w:trHeight w:val="4598"/>
        </w:trPr>
        <w:tc>
          <w:tcPr>
            <w:tcW w:w="2093" w:type="dxa"/>
          </w:tcPr>
          <w:p w:rsidR="000A4F03" w:rsidRDefault="000A4F0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</w:t>
            </w: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</w:tcPr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муниципального контроля, содержания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нормативных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>правовых актов, соблюдение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которых оценивается в ходе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проверок.</w:t>
            </w:r>
          </w:p>
        </w:tc>
        <w:tc>
          <w:tcPr>
            <w:tcW w:w="2188" w:type="dxa"/>
          </w:tcPr>
          <w:p w:rsidR="000A4F03" w:rsidRPr="00A72E42" w:rsidRDefault="003D6BC6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</w:t>
            </w:r>
          </w:p>
          <w:p w:rsidR="000A4F03" w:rsidRPr="00A72E42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 на автомобильном транспорте, городском наземном</w:t>
            </w:r>
          </w:p>
          <w:p w:rsidR="000A4F03" w:rsidRPr="00A72E42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запросу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 может осуществляться должностным лицом по телефону, посредством видео-конференц-связи,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</w:tr>
    </w:tbl>
    <w:p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  <w:r w:rsidR="00CA345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896C61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Показатели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8711D">
        <w:rPr>
          <w:rFonts w:ascii="Times New Roman" w:eastAsia="Times New Roman" w:hAnsi="Times New Roman"/>
          <w:color w:val="000000"/>
          <w:sz w:val="26"/>
          <w:szCs w:val="26"/>
        </w:rPr>
        <w:t>зультативности и эффективности П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>рограммы профилактики</w:t>
      </w:r>
    </w:p>
    <w:p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8711D" w:rsidRDefault="00C8711D" w:rsidP="00CA345A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= Н : П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М2 : М1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= (Пн + Рн) : (Пн + Рн + Пи + Ри)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– степень недисциплинированности контролируемых лиц;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Пн – количество неисполненных предписаний уполномоченного органа;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Рн – количество неисполненных предостережений о недопустимости нарушений обязательных требований;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Ри – количество исполненных предостережений о недопустимости нарушений обязательных требований;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Да = А : П * 100%, где: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:rsidR="007D5CC3" w:rsidRDefault="007D5CC3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(Дн + Дм + Дс + Да) : К, где: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:rsidR="00976CCA" w:rsidRPr="00976CCA" w:rsidRDefault="00976CCA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/>
      </w:tblPr>
      <w:tblGrid>
        <w:gridCol w:w="2975"/>
        <w:gridCol w:w="1786"/>
        <w:gridCol w:w="1635"/>
        <w:gridCol w:w="1591"/>
        <w:gridCol w:w="1647"/>
      </w:tblGrid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менее</w:t>
            </w:r>
          </w:p>
        </w:tc>
        <w:tc>
          <w:tcPr>
            <w:tcW w:w="163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647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(Дн + Дм + Дс + Да) : К, где: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 – доля нарушений обязательных требований,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/>
          </w:tcPr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менее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</w:tbl>
    <w:p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D2" w:rsidRDefault="00863ED2" w:rsidP="00116828">
      <w:pPr>
        <w:spacing w:after="0" w:line="240" w:lineRule="auto"/>
      </w:pPr>
      <w:r>
        <w:separator/>
      </w:r>
    </w:p>
  </w:endnote>
  <w:endnote w:type="continuationSeparator" w:id="1">
    <w:p w:rsidR="00863ED2" w:rsidRDefault="00863ED2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D2" w:rsidRDefault="00863ED2" w:rsidP="00116828">
      <w:pPr>
        <w:spacing w:after="0" w:line="240" w:lineRule="auto"/>
      </w:pPr>
      <w:r>
        <w:separator/>
      </w:r>
    </w:p>
  </w:footnote>
  <w:footnote w:type="continuationSeparator" w:id="1">
    <w:p w:rsidR="00863ED2" w:rsidRDefault="00863ED2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6407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/>
      </w:rPr>
    </w:sdtEndPr>
    <w:sdtContent>
      <w:p w:rsidR="00184D5F" w:rsidRDefault="0080783E">
        <w:pPr>
          <w:pStyle w:val="a7"/>
          <w:jc w:val="right"/>
        </w:pPr>
        <w:r w:rsidRPr="001045C5">
          <w:rPr>
            <w:rFonts w:ascii="Times New Roman" w:hAnsi="Times New Roman"/>
          </w:rPr>
          <w:fldChar w:fldCharType="begin"/>
        </w:r>
        <w:r w:rsidR="00184D5F" w:rsidRPr="001045C5">
          <w:rPr>
            <w:rFonts w:ascii="Times New Roman" w:hAnsi="Times New Roman"/>
          </w:rPr>
          <w:instrText xml:space="preserve"> PAGE   \* MERGEFORMAT </w:instrText>
        </w:r>
        <w:r w:rsidRPr="001045C5">
          <w:rPr>
            <w:rFonts w:ascii="Times New Roman" w:hAnsi="Times New Roman"/>
          </w:rPr>
          <w:fldChar w:fldCharType="separate"/>
        </w:r>
        <w:r w:rsidR="00236CAB">
          <w:rPr>
            <w:rFonts w:ascii="Times New Roman" w:hAnsi="Times New Roman"/>
            <w:noProof/>
          </w:rPr>
          <w:t>2</w:t>
        </w:r>
        <w:r w:rsidRPr="001045C5">
          <w:rPr>
            <w:rFonts w:ascii="Times New Roman" w:hAnsi="Times New Roman"/>
          </w:rPr>
          <w:fldChar w:fldCharType="end"/>
        </w:r>
      </w:p>
    </w:sdtContent>
  </w:sdt>
  <w:p w:rsidR="00116828" w:rsidRDefault="001168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A80"/>
    <w:multiLevelType w:val="multilevel"/>
    <w:tmpl w:val="2D60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E2E93"/>
    <w:multiLevelType w:val="hybridMultilevel"/>
    <w:tmpl w:val="EC2ABDE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56D27745"/>
    <w:multiLevelType w:val="multilevel"/>
    <w:tmpl w:val="D4207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64F37EF6"/>
    <w:multiLevelType w:val="hybridMultilevel"/>
    <w:tmpl w:val="D14E4E16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76B0"/>
    <w:multiLevelType w:val="hybridMultilevel"/>
    <w:tmpl w:val="18FA7E82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0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8530A"/>
    <w:rsid w:val="00091E50"/>
    <w:rsid w:val="000961B6"/>
    <w:rsid w:val="0009770B"/>
    <w:rsid w:val="000A1552"/>
    <w:rsid w:val="000A4F03"/>
    <w:rsid w:val="000B2EA6"/>
    <w:rsid w:val="000B6059"/>
    <w:rsid w:val="000C46E9"/>
    <w:rsid w:val="000E55B5"/>
    <w:rsid w:val="000F4819"/>
    <w:rsid w:val="001045C5"/>
    <w:rsid w:val="00116828"/>
    <w:rsid w:val="001174D3"/>
    <w:rsid w:val="00130179"/>
    <w:rsid w:val="00141271"/>
    <w:rsid w:val="00141FEC"/>
    <w:rsid w:val="001823AA"/>
    <w:rsid w:val="00184D5F"/>
    <w:rsid w:val="0019694E"/>
    <w:rsid w:val="001A7C89"/>
    <w:rsid w:val="001B5B9E"/>
    <w:rsid w:val="001C4902"/>
    <w:rsid w:val="001C63B1"/>
    <w:rsid w:val="001C7014"/>
    <w:rsid w:val="001E5741"/>
    <w:rsid w:val="001F1695"/>
    <w:rsid w:val="001F5483"/>
    <w:rsid w:val="002056CA"/>
    <w:rsid w:val="00205C29"/>
    <w:rsid w:val="00210C2F"/>
    <w:rsid w:val="00211ED4"/>
    <w:rsid w:val="002242F6"/>
    <w:rsid w:val="00236CAB"/>
    <w:rsid w:val="00254BBD"/>
    <w:rsid w:val="002668F4"/>
    <w:rsid w:val="0028239A"/>
    <w:rsid w:val="002B72D6"/>
    <w:rsid w:val="002C55DE"/>
    <w:rsid w:val="002D26D0"/>
    <w:rsid w:val="002E0680"/>
    <w:rsid w:val="00301A63"/>
    <w:rsid w:val="00302D77"/>
    <w:rsid w:val="00316088"/>
    <w:rsid w:val="00350F39"/>
    <w:rsid w:val="00355B39"/>
    <w:rsid w:val="003A5C3A"/>
    <w:rsid w:val="003B1868"/>
    <w:rsid w:val="003D6BC6"/>
    <w:rsid w:val="003E1E38"/>
    <w:rsid w:val="003E3FCC"/>
    <w:rsid w:val="0040224A"/>
    <w:rsid w:val="00407B60"/>
    <w:rsid w:val="004148BF"/>
    <w:rsid w:val="00415190"/>
    <w:rsid w:val="00416BB6"/>
    <w:rsid w:val="00435875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500777"/>
    <w:rsid w:val="005039A3"/>
    <w:rsid w:val="005132B4"/>
    <w:rsid w:val="005563AB"/>
    <w:rsid w:val="00560C15"/>
    <w:rsid w:val="0058716C"/>
    <w:rsid w:val="00595D58"/>
    <w:rsid w:val="005A068C"/>
    <w:rsid w:val="005B3989"/>
    <w:rsid w:val="005B45D4"/>
    <w:rsid w:val="005C401F"/>
    <w:rsid w:val="005E2FD6"/>
    <w:rsid w:val="005E72F5"/>
    <w:rsid w:val="00603565"/>
    <w:rsid w:val="006058A0"/>
    <w:rsid w:val="00634676"/>
    <w:rsid w:val="00651120"/>
    <w:rsid w:val="006527DF"/>
    <w:rsid w:val="00665AB6"/>
    <w:rsid w:val="00667ED7"/>
    <w:rsid w:val="00690213"/>
    <w:rsid w:val="00690B2C"/>
    <w:rsid w:val="006B55A6"/>
    <w:rsid w:val="006C3199"/>
    <w:rsid w:val="006C44B1"/>
    <w:rsid w:val="006E47E7"/>
    <w:rsid w:val="006F6483"/>
    <w:rsid w:val="00704292"/>
    <w:rsid w:val="00716EB7"/>
    <w:rsid w:val="00727F0F"/>
    <w:rsid w:val="00736A7F"/>
    <w:rsid w:val="00736FB2"/>
    <w:rsid w:val="0074160E"/>
    <w:rsid w:val="007717A0"/>
    <w:rsid w:val="007843F4"/>
    <w:rsid w:val="00796D6A"/>
    <w:rsid w:val="007A0075"/>
    <w:rsid w:val="007B4807"/>
    <w:rsid w:val="007D5CC3"/>
    <w:rsid w:val="007D6A0B"/>
    <w:rsid w:val="007F3B93"/>
    <w:rsid w:val="0080783E"/>
    <w:rsid w:val="0083157F"/>
    <w:rsid w:val="0084303A"/>
    <w:rsid w:val="00854182"/>
    <w:rsid w:val="00863ED2"/>
    <w:rsid w:val="008701CA"/>
    <w:rsid w:val="008740D3"/>
    <w:rsid w:val="00881B96"/>
    <w:rsid w:val="00884175"/>
    <w:rsid w:val="008913A6"/>
    <w:rsid w:val="00896C61"/>
    <w:rsid w:val="008A553C"/>
    <w:rsid w:val="008B24AF"/>
    <w:rsid w:val="008B7159"/>
    <w:rsid w:val="008E1332"/>
    <w:rsid w:val="0090069C"/>
    <w:rsid w:val="00902D47"/>
    <w:rsid w:val="00911395"/>
    <w:rsid w:val="00914242"/>
    <w:rsid w:val="0091796E"/>
    <w:rsid w:val="00920DA3"/>
    <w:rsid w:val="00930BAB"/>
    <w:rsid w:val="00945B79"/>
    <w:rsid w:val="00962E46"/>
    <w:rsid w:val="0096799F"/>
    <w:rsid w:val="009750ED"/>
    <w:rsid w:val="00976CCA"/>
    <w:rsid w:val="00976D51"/>
    <w:rsid w:val="00993E25"/>
    <w:rsid w:val="009F4923"/>
    <w:rsid w:val="009F4CFC"/>
    <w:rsid w:val="00A05066"/>
    <w:rsid w:val="00A20047"/>
    <w:rsid w:val="00A20F16"/>
    <w:rsid w:val="00A35334"/>
    <w:rsid w:val="00A353C0"/>
    <w:rsid w:val="00A56A93"/>
    <w:rsid w:val="00A72005"/>
    <w:rsid w:val="00A72E42"/>
    <w:rsid w:val="00A77FA8"/>
    <w:rsid w:val="00A852A8"/>
    <w:rsid w:val="00A86291"/>
    <w:rsid w:val="00A97080"/>
    <w:rsid w:val="00AA00E6"/>
    <w:rsid w:val="00AB4D7F"/>
    <w:rsid w:val="00AC2DDF"/>
    <w:rsid w:val="00AD5E56"/>
    <w:rsid w:val="00AE0484"/>
    <w:rsid w:val="00AE43A0"/>
    <w:rsid w:val="00AE7540"/>
    <w:rsid w:val="00B0101F"/>
    <w:rsid w:val="00B02E78"/>
    <w:rsid w:val="00B150E1"/>
    <w:rsid w:val="00B15662"/>
    <w:rsid w:val="00B2683B"/>
    <w:rsid w:val="00B32F13"/>
    <w:rsid w:val="00B44717"/>
    <w:rsid w:val="00B6368A"/>
    <w:rsid w:val="00B661F9"/>
    <w:rsid w:val="00B739DD"/>
    <w:rsid w:val="00B83BB5"/>
    <w:rsid w:val="00BB0469"/>
    <w:rsid w:val="00BB30AE"/>
    <w:rsid w:val="00BC0387"/>
    <w:rsid w:val="00BD2D7E"/>
    <w:rsid w:val="00BE464A"/>
    <w:rsid w:val="00BF20E3"/>
    <w:rsid w:val="00C17893"/>
    <w:rsid w:val="00C225E5"/>
    <w:rsid w:val="00C40442"/>
    <w:rsid w:val="00C41E66"/>
    <w:rsid w:val="00C41ECB"/>
    <w:rsid w:val="00C42C32"/>
    <w:rsid w:val="00C50769"/>
    <w:rsid w:val="00C61001"/>
    <w:rsid w:val="00C773ED"/>
    <w:rsid w:val="00C8711D"/>
    <w:rsid w:val="00C97981"/>
    <w:rsid w:val="00CA345A"/>
    <w:rsid w:val="00CA7DA9"/>
    <w:rsid w:val="00CC3D06"/>
    <w:rsid w:val="00CD0080"/>
    <w:rsid w:val="00CE41B4"/>
    <w:rsid w:val="00CF1E55"/>
    <w:rsid w:val="00D15385"/>
    <w:rsid w:val="00D227FA"/>
    <w:rsid w:val="00D254B4"/>
    <w:rsid w:val="00D330AC"/>
    <w:rsid w:val="00D525BD"/>
    <w:rsid w:val="00D636A7"/>
    <w:rsid w:val="00D67398"/>
    <w:rsid w:val="00D74C50"/>
    <w:rsid w:val="00D775D0"/>
    <w:rsid w:val="00D87CDA"/>
    <w:rsid w:val="00D917F4"/>
    <w:rsid w:val="00DA4939"/>
    <w:rsid w:val="00DC0972"/>
    <w:rsid w:val="00DD6350"/>
    <w:rsid w:val="00DD7117"/>
    <w:rsid w:val="00DF6AB1"/>
    <w:rsid w:val="00E01D21"/>
    <w:rsid w:val="00E066E9"/>
    <w:rsid w:val="00E12D33"/>
    <w:rsid w:val="00E16C7F"/>
    <w:rsid w:val="00E17E18"/>
    <w:rsid w:val="00E234AE"/>
    <w:rsid w:val="00E3467A"/>
    <w:rsid w:val="00E40CD4"/>
    <w:rsid w:val="00E6302B"/>
    <w:rsid w:val="00E66F78"/>
    <w:rsid w:val="00E76DD1"/>
    <w:rsid w:val="00E77866"/>
    <w:rsid w:val="00EA1290"/>
    <w:rsid w:val="00EB715B"/>
    <w:rsid w:val="00EC0EBD"/>
    <w:rsid w:val="00EC2DEB"/>
    <w:rsid w:val="00ED41A1"/>
    <w:rsid w:val="00EF016A"/>
    <w:rsid w:val="00EF2487"/>
    <w:rsid w:val="00F068D4"/>
    <w:rsid w:val="00F11D09"/>
    <w:rsid w:val="00F12594"/>
    <w:rsid w:val="00F317D2"/>
    <w:rsid w:val="00F42865"/>
    <w:rsid w:val="00F54A51"/>
    <w:rsid w:val="00F74463"/>
    <w:rsid w:val="00F76C97"/>
    <w:rsid w:val="00FA0EA8"/>
    <w:rsid w:val="00FA5A6A"/>
    <w:rsid w:val="00FA771B"/>
    <w:rsid w:val="00FB7E67"/>
    <w:rsid w:val="00FC1A84"/>
    <w:rsid w:val="00FC4173"/>
    <w:rsid w:val="00FD1711"/>
    <w:rsid w:val="00FD72A5"/>
    <w:rsid w:val="00F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45C3-4EE3-4554-914F-885FDBF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406</cp:revision>
  <dcterms:created xsi:type="dcterms:W3CDTF">2022-12-21T02:58:00Z</dcterms:created>
  <dcterms:modified xsi:type="dcterms:W3CDTF">2023-12-18T03:40:00Z</dcterms:modified>
</cp:coreProperties>
</file>