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9F" w:rsidRDefault="00A3499F" w:rsidP="00A3499F">
      <w:pPr>
        <w:pStyle w:val="a3"/>
        <w:ind w:left="0"/>
        <w:jc w:val="center"/>
        <w:rPr>
          <w:b/>
          <w:sz w:val="28"/>
          <w:szCs w:val="28"/>
        </w:rPr>
      </w:pPr>
      <w:r w:rsidRPr="00FD2B7B">
        <w:rPr>
          <w:b/>
          <w:sz w:val="28"/>
          <w:szCs w:val="28"/>
        </w:rPr>
        <w:t xml:space="preserve">Годовой отчет о ходе реализации и оценке эффективности подпрограммы «Культура города Рубцовска» на 2015-2017 годы муниципальной программы «Развитие культуры и молодежной политики города Рубцовска Алтайского края» на 2015-2017 годы </w:t>
      </w:r>
    </w:p>
    <w:p w:rsidR="00A3499F" w:rsidRPr="00FD2B7B" w:rsidRDefault="00A3499F" w:rsidP="00A3499F">
      <w:pPr>
        <w:pStyle w:val="a3"/>
        <w:ind w:left="0"/>
        <w:jc w:val="center"/>
        <w:rPr>
          <w:b/>
          <w:sz w:val="28"/>
          <w:szCs w:val="28"/>
        </w:rPr>
      </w:pPr>
      <w:r w:rsidRPr="00FD2B7B">
        <w:rPr>
          <w:b/>
          <w:sz w:val="28"/>
          <w:szCs w:val="28"/>
        </w:rPr>
        <w:t>за 2015 год</w:t>
      </w:r>
    </w:p>
    <w:p w:rsidR="00A3499F" w:rsidRDefault="00A3499F" w:rsidP="00A3499F">
      <w:pPr>
        <w:pStyle w:val="a3"/>
        <w:ind w:left="0"/>
        <w:jc w:val="center"/>
        <w:rPr>
          <w:sz w:val="28"/>
          <w:szCs w:val="28"/>
        </w:rPr>
      </w:pPr>
    </w:p>
    <w:p w:rsidR="00A3499F" w:rsidRPr="00C9739B" w:rsidRDefault="00A3499F" w:rsidP="00A3499F">
      <w:pPr>
        <w:ind w:firstLine="708"/>
        <w:jc w:val="both"/>
        <w:rPr>
          <w:sz w:val="28"/>
          <w:szCs w:val="28"/>
        </w:rPr>
      </w:pPr>
      <w:r w:rsidRPr="00C9739B">
        <w:rPr>
          <w:sz w:val="28"/>
          <w:szCs w:val="28"/>
        </w:rPr>
        <w:t>Подпрограмма «</w:t>
      </w:r>
      <w:r>
        <w:rPr>
          <w:sz w:val="28"/>
          <w:szCs w:val="28"/>
        </w:rPr>
        <w:t>Культура</w:t>
      </w:r>
      <w:r w:rsidRPr="00C9739B">
        <w:rPr>
          <w:sz w:val="28"/>
          <w:szCs w:val="28"/>
        </w:rPr>
        <w:t xml:space="preserve"> города Рубцовска» на 2015-2017 годы муниципальной программы «Развитие культуры и молодежной политики города Рубцовска Алтайского края» на 2015-2017 годы (далее по тексту – Подпрограмма) утверждена постановлением Администрации города Рубцовска Алтайского края от  13.08.2014 № 3411 в целях </w:t>
      </w:r>
      <w:r>
        <w:rPr>
          <w:sz w:val="28"/>
          <w:szCs w:val="28"/>
        </w:rPr>
        <w:t>создания условий для развития культурного и духовного потенциала каждого жителя города Рубцовска.</w:t>
      </w:r>
    </w:p>
    <w:p w:rsidR="00A3499F" w:rsidRDefault="00A3499F" w:rsidP="00A3499F">
      <w:pPr>
        <w:jc w:val="both"/>
        <w:rPr>
          <w:sz w:val="28"/>
          <w:szCs w:val="28"/>
        </w:rPr>
      </w:pPr>
      <w:r w:rsidRPr="00C9739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На основании постановлений</w:t>
      </w:r>
      <w:r w:rsidRPr="00C9739B">
        <w:rPr>
          <w:sz w:val="28"/>
          <w:szCs w:val="28"/>
        </w:rPr>
        <w:t xml:space="preserve"> Администрации города Рубцовска Алтайского края от 13.02.2015 № 920</w:t>
      </w:r>
      <w:r>
        <w:rPr>
          <w:sz w:val="28"/>
          <w:szCs w:val="28"/>
        </w:rPr>
        <w:t>, от 28.08.2015 № 3945</w:t>
      </w:r>
      <w:r w:rsidRPr="00C9739B">
        <w:rPr>
          <w:sz w:val="28"/>
          <w:szCs w:val="28"/>
        </w:rPr>
        <w:t xml:space="preserve"> «О внесении изменений в постановление Администрации города Рубцовска Алтайского края от 13.08.2014  № 3411  «Об утверждении муниципальной программы «Развитие культуры и молодежной политики города Рубцовска Алтайского края» на 2015-2017 годы» в Подпрограмму были внесены изменения, касающиеся объемов финансовых ресурсов, необходимых для реализации Подпрограммы</w:t>
      </w:r>
      <w:r>
        <w:rPr>
          <w:sz w:val="28"/>
          <w:szCs w:val="28"/>
        </w:rPr>
        <w:t xml:space="preserve">. </w:t>
      </w:r>
      <w:proofErr w:type="gramEnd"/>
    </w:p>
    <w:p w:rsidR="00A3499F" w:rsidRDefault="00A3499F" w:rsidP="00A3499F">
      <w:pPr>
        <w:ind w:firstLine="708"/>
        <w:jc w:val="both"/>
        <w:rPr>
          <w:sz w:val="28"/>
          <w:szCs w:val="28"/>
        </w:rPr>
      </w:pPr>
      <w:r w:rsidRPr="00C9739B">
        <w:rPr>
          <w:sz w:val="28"/>
          <w:szCs w:val="28"/>
        </w:rPr>
        <w:t xml:space="preserve">В 2015 году из средств бюджета города на реализацию мероприятий Подпрограммы было запланировано </w:t>
      </w:r>
      <w:r>
        <w:rPr>
          <w:sz w:val="28"/>
          <w:szCs w:val="28"/>
        </w:rPr>
        <w:t>104961,3</w:t>
      </w:r>
      <w:r w:rsidRPr="00C9739B">
        <w:rPr>
          <w:sz w:val="28"/>
          <w:szCs w:val="28"/>
        </w:rPr>
        <w:t xml:space="preserve"> тыс. руб., фактически на программные мероприятия за указанный период израсходовано </w:t>
      </w:r>
      <w:r>
        <w:rPr>
          <w:sz w:val="28"/>
          <w:szCs w:val="28"/>
        </w:rPr>
        <w:t>98035,4</w:t>
      </w:r>
      <w:r w:rsidRPr="00C9739B">
        <w:rPr>
          <w:sz w:val="28"/>
          <w:szCs w:val="28"/>
        </w:rPr>
        <w:t xml:space="preserve"> тыс. руб. из средств бюджета горо</w:t>
      </w:r>
      <w:r>
        <w:rPr>
          <w:sz w:val="28"/>
          <w:szCs w:val="28"/>
        </w:rPr>
        <w:t xml:space="preserve">да. Финансирование мероприятий Подпрограммы  </w:t>
      </w:r>
      <w:r w:rsidRPr="00C9739B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93,4%</w:t>
      </w:r>
      <w:r w:rsidRPr="00C9739B">
        <w:rPr>
          <w:sz w:val="28"/>
          <w:szCs w:val="28"/>
        </w:rPr>
        <w:t>.</w:t>
      </w:r>
    </w:p>
    <w:p w:rsidR="00A3499F" w:rsidRDefault="00A3499F" w:rsidP="00A3499F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95D63">
        <w:rPr>
          <w:sz w:val="28"/>
          <w:szCs w:val="28"/>
        </w:rPr>
        <w:t xml:space="preserve">Сеть муниципальных учреждений культуры и </w:t>
      </w:r>
      <w:proofErr w:type="gramStart"/>
      <w:r w:rsidRPr="00895D63">
        <w:rPr>
          <w:sz w:val="28"/>
          <w:szCs w:val="28"/>
        </w:rPr>
        <w:t>дополнительного</w:t>
      </w:r>
      <w:proofErr w:type="gramEnd"/>
      <w:r w:rsidRPr="00895D63">
        <w:rPr>
          <w:sz w:val="28"/>
          <w:szCs w:val="28"/>
        </w:rPr>
        <w:t xml:space="preserve"> образования в отрасли культура в городе Рубцовске в 2015</w:t>
      </w:r>
      <w:r>
        <w:rPr>
          <w:sz w:val="28"/>
          <w:szCs w:val="28"/>
        </w:rPr>
        <w:t xml:space="preserve"> году   сохранена без изменений и насчитывает 4 единицы культурно-досуговых учреждений, 4 единицы учреждений дополнительного образования, 2 единицы учреждений музейного типа, 1 единицы театральное учреждение, библиотечная система, 1 единица парки, база отдыха.</w:t>
      </w:r>
    </w:p>
    <w:p w:rsidR="00A3499F" w:rsidRPr="00895D63" w:rsidRDefault="00A3499F" w:rsidP="00A3499F">
      <w:pPr>
        <w:ind w:firstLine="708"/>
        <w:jc w:val="both"/>
        <w:rPr>
          <w:sz w:val="28"/>
          <w:szCs w:val="28"/>
        </w:rPr>
      </w:pPr>
      <w:r w:rsidRPr="00895D63">
        <w:rPr>
          <w:sz w:val="28"/>
          <w:szCs w:val="28"/>
        </w:rPr>
        <w:t>В 2015 году в МБУК «Библиотечная информационная система» произошло сокращение одной сетевой единицы. По состоянию на 01.01.2016 количество библиотек, входящих в Библиотечную информационную систему, составляет 10</w:t>
      </w:r>
      <w:r>
        <w:rPr>
          <w:sz w:val="28"/>
          <w:szCs w:val="28"/>
        </w:rPr>
        <w:t xml:space="preserve"> единиц.</w:t>
      </w:r>
      <w:r w:rsidRPr="00895D63">
        <w:rPr>
          <w:sz w:val="28"/>
          <w:szCs w:val="28"/>
        </w:rPr>
        <w:t xml:space="preserve"> </w:t>
      </w:r>
    </w:p>
    <w:p w:rsidR="00A3499F" w:rsidRPr="00895D63" w:rsidRDefault="00A3499F" w:rsidP="00A3499F">
      <w:pPr>
        <w:ind w:firstLine="708"/>
        <w:jc w:val="both"/>
        <w:rPr>
          <w:sz w:val="28"/>
          <w:szCs w:val="28"/>
        </w:rPr>
      </w:pPr>
      <w:r w:rsidRPr="00895D63">
        <w:rPr>
          <w:sz w:val="28"/>
          <w:szCs w:val="28"/>
        </w:rPr>
        <w:t>На 01.01.2016 в учреждениях культуры города Рубцовска насчитывается:</w:t>
      </w:r>
    </w:p>
    <w:p w:rsidR="00A3499F" w:rsidRPr="00823A7B" w:rsidRDefault="00A3499F" w:rsidP="00A3499F">
      <w:pPr>
        <w:jc w:val="both"/>
        <w:rPr>
          <w:sz w:val="28"/>
          <w:szCs w:val="28"/>
        </w:rPr>
      </w:pPr>
      <w:r w:rsidRPr="00823A7B">
        <w:rPr>
          <w:sz w:val="28"/>
          <w:szCs w:val="28"/>
        </w:rPr>
        <w:t>- шесть Заслуженных коллективов самодеятельного художественного творчества Алтайского края.</w:t>
      </w:r>
    </w:p>
    <w:p w:rsidR="00A3499F" w:rsidRPr="00823A7B" w:rsidRDefault="00A3499F" w:rsidP="00A3499F">
      <w:pPr>
        <w:jc w:val="both"/>
        <w:rPr>
          <w:sz w:val="28"/>
          <w:szCs w:val="28"/>
        </w:rPr>
      </w:pPr>
      <w:r w:rsidRPr="00823A7B">
        <w:rPr>
          <w:sz w:val="28"/>
          <w:szCs w:val="28"/>
        </w:rPr>
        <w:t>- шесть коллективов со званием «образцовый».</w:t>
      </w:r>
    </w:p>
    <w:p w:rsidR="00A3499F" w:rsidRPr="00823A7B" w:rsidRDefault="00A3499F" w:rsidP="00A3499F">
      <w:pPr>
        <w:jc w:val="both"/>
        <w:rPr>
          <w:sz w:val="28"/>
          <w:szCs w:val="28"/>
        </w:rPr>
      </w:pPr>
      <w:r w:rsidRPr="00823A7B">
        <w:rPr>
          <w:sz w:val="28"/>
          <w:szCs w:val="28"/>
        </w:rPr>
        <w:t>- десять коллективов со званием «народный».</w:t>
      </w:r>
    </w:p>
    <w:p w:rsidR="00A3499F" w:rsidRPr="00823A7B" w:rsidRDefault="00A3499F" w:rsidP="00A3499F">
      <w:pPr>
        <w:jc w:val="both"/>
        <w:rPr>
          <w:sz w:val="28"/>
          <w:szCs w:val="28"/>
        </w:rPr>
      </w:pPr>
      <w:r w:rsidRPr="00823A7B">
        <w:rPr>
          <w:sz w:val="28"/>
          <w:szCs w:val="28"/>
        </w:rPr>
        <w:t>Количество коллективов со званием - один из самых высоких показателей в крае.</w:t>
      </w:r>
    </w:p>
    <w:p w:rsidR="00A3499F" w:rsidRPr="00F60190" w:rsidRDefault="00A3499F" w:rsidP="00A34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</w:t>
      </w:r>
      <w:r w:rsidRPr="00895D63">
        <w:rPr>
          <w:sz w:val="28"/>
          <w:szCs w:val="28"/>
        </w:rPr>
        <w:t>творческие коллективы города прин</w:t>
      </w:r>
      <w:r>
        <w:rPr>
          <w:sz w:val="28"/>
          <w:szCs w:val="28"/>
        </w:rPr>
        <w:t xml:space="preserve">яли </w:t>
      </w:r>
      <w:r w:rsidRPr="00895D63">
        <w:rPr>
          <w:sz w:val="28"/>
          <w:szCs w:val="28"/>
        </w:rPr>
        <w:t xml:space="preserve">активное участие в международных, всероссийских и региональных конкурсах и фестивалях, в </w:t>
      </w:r>
      <w:r w:rsidRPr="00895D63">
        <w:rPr>
          <w:sz w:val="28"/>
          <w:szCs w:val="28"/>
        </w:rPr>
        <w:lastRenderedPageBreak/>
        <w:t xml:space="preserve">том числе в городах Москва, Санкт-Петербург, Сочи (общее количество мероприятий с участием творческих коллективов города </w:t>
      </w:r>
      <w:r>
        <w:rPr>
          <w:sz w:val="28"/>
          <w:szCs w:val="28"/>
        </w:rPr>
        <w:t xml:space="preserve">Рубцовска </w:t>
      </w:r>
      <w:r w:rsidRPr="00895D63">
        <w:rPr>
          <w:sz w:val="28"/>
          <w:szCs w:val="28"/>
        </w:rPr>
        <w:t xml:space="preserve">составляет в год </w:t>
      </w:r>
      <w:r>
        <w:rPr>
          <w:sz w:val="28"/>
          <w:szCs w:val="28"/>
        </w:rPr>
        <w:t xml:space="preserve">- </w:t>
      </w:r>
      <w:r w:rsidRPr="00895D63">
        <w:rPr>
          <w:sz w:val="28"/>
          <w:szCs w:val="28"/>
        </w:rPr>
        <w:t>35 ед., количество участников –1500 человек).</w:t>
      </w:r>
    </w:p>
    <w:p w:rsidR="00A3499F" w:rsidRPr="00F60190" w:rsidRDefault="00A3499F" w:rsidP="00A3499F">
      <w:pPr>
        <w:ind w:firstLine="708"/>
        <w:jc w:val="both"/>
        <w:rPr>
          <w:sz w:val="28"/>
          <w:szCs w:val="28"/>
        </w:rPr>
      </w:pPr>
      <w:r w:rsidRPr="00F60190">
        <w:rPr>
          <w:sz w:val="28"/>
          <w:szCs w:val="28"/>
        </w:rPr>
        <w:t>В 2015 году город Рубцо</w:t>
      </w:r>
      <w:proofErr w:type="gramStart"/>
      <w:r w:rsidRPr="00F60190">
        <w:rPr>
          <w:sz w:val="28"/>
          <w:szCs w:val="28"/>
        </w:rPr>
        <w:t>вск ст</w:t>
      </w:r>
      <w:proofErr w:type="gramEnd"/>
      <w:r w:rsidRPr="00F60190">
        <w:rPr>
          <w:sz w:val="28"/>
          <w:szCs w:val="28"/>
        </w:rPr>
        <w:t xml:space="preserve">ал площадкой для трех важнейших краевых мероприятий – зонального этапа краевого хореографического конкурса «Навстречу солнцу», XVIII краевого фестиваля студенческого творчества «Студенческая весна на Алтае. ФЕСТА-2015» и </w:t>
      </w:r>
      <w:r w:rsidRPr="00F60190">
        <w:rPr>
          <w:sz w:val="28"/>
          <w:szCs w:val="28"/>
          <w:lang w:val="en-US"/>
        </w:rPr>
        <w:t>VII</w:t>
      </w:r>
      <w:r w:rsidRPr="00F60190">
        <w:rPr>
          <w:sz w:val="28"/>
          <w:szCs w:val="28"/>
        </w:rPr>
        <w:t xml:space="preserve"> Летней Олимпиады городов Алтая. </w:t>
      </w:r>
    </w:p>
    <w:p w:rsidR="00A3499F" w:rsidRDefault="00A3499F" w:rsidP="00A3499F">
      <w:pPr>
        <w:ind w:firstLine="708"/>
        <w:jc w:val="both"/>
        <w:rPr>
          <w:sz w:val="28"/>
          <w:szCs w:val="28"/>
        </w:rPr>
      </w:pPr>
      <w:r w:rsidRPr="00F60190">
        <w:rPr>
          <w:sz w:val="28"/>
          <w:szCs w:val="28"/>
        </w:rPr>
        <w:t xml:space="preserve">Из перечня наиболее значимых мероприятий 2015 года необходимо выделить </w:t>
      </w:r>
      <w:r>
        <w:rPr>
          <w:sz w:val="28"/>
          <w:szCs w:val="28"/>
        </w:rPr>
        <w:t>мероприятия Всероссийских акций (</w:t>
      </w:r>
      <w:r w:rsidRPr="00F60190">
        <w:rPr>
          <w:sz w:val="28"/>
          <w:szCs w:val="28"/>
        </w:rPr>
        <w:t>Ночь муз</w:t>
      </w:r>
      <w:r>
        <w:rPr>
          <w:sz w:val="28"/>
          <w:szCs w:val="28"/>
        </w:rPr>
        <w:t xml:space="preserve">еев, </w:t>
      </w:r>
      <w:proofErr w:type="spellStart"/>
      <w:r>
        <w:rPr>
          <w:sz w:val="28"/>
          <w:szCs w:val="28"/>
        </w:rPr>
        <w:t>Библионочь</w:t>
      </w:r>
      <w:proofErr w:type="spellEnd"/>
      <w:r>
        <w:rPr>
          <w:sz w:val="28"/>
          <w:szCs w:val="28"/>
        </w:rPr>
        <w:t xml:space="preserve">, Ночь искусств), </w:t>
      </w:r>
      <w:r w:rsidRPr="00F60190">
        <w:rPr>
          <w:sz w:val="28"/>
          <w:szCs w:val="28"/>
        </w:rPr>
        <w:t>Фестивали красок</w:t>
      </w:r>
      <w:r>
        <w:rPr>
          <w:sz w:val="28"/>
          <w:szCs w:val="28"/>
        </w:rPr>
        <w:t>,</w:t>
      </w:r>
      <w:r w:rsidRPr="00F60190">
        <w:rPr>
          <w:sz w:val="28"/>
          <w:szCs w:val="28"/>
        </w:rPr>
        <w:t xml:space="preserve"> Хоровой Собор «Песни военных лет»</w:t>
      </w:r>
      <w:r>
        <w:rPr>
          <w:sz w:val="28"/>
          <w:szCs w:val="28"/>
        </w:rPr>
        <w:t>, м</w:t>
      </w:r>
      <w:r w:rsidRPr="00F60190">
        <w:rPr>
          <w:sz w:val="28"/>
          <w:szCs w:val="28"/>
        </w:rPr>
        <w:t>арафон Памяти «Читаем Блокадную книгу»</w:t>
      </w:r>
      <w:r>
        <w:rPr>
          <w:sz w:val="28"/>
          <w:szCs w:val="28"/>
        </w:rPr>
        <w:t xml:space="preserve">, цикл мероприятий, посвященных Году Литературы, </w:t>
      </w:r>
      <w:r w:rsidRPr="00F60190">
        <w:rPr>
          <w:sz w:val="28"/>
          <w:szCs w:val="28"/>
        </w:rPr>
        <w:t>цикл молодежных велопробегов</w:t>
      </w:r>
      <w:r w:rsidRPr="00895D63">
        <w:rPr>
          <w:sz w:val="28"/>
          <w:szCs w:val="28"/>
        </w:rPr>
        <w:t xml:space="preserve">, посвященных таким знаменательным праздникам, как День России, День российского флага, Дню города. </w:t>
      </w:r>
    </w:p>
    <w:p w:rsidR="00A3499F" w:rsidRPr="00F60190" w:rsidRDefault="00A3499F" w:rsidP="00A3499F">
      <w:pPr>
        <w:ind w:firstLine="708"/>
        <w:jc w:val="both"/>
        <w:rPr>
          <w:sz w:val="28"/>
          <w:szCs w:val="28"/>
        </w:rPr>
      </w:pPr>
      <w:r w:rsidRPr="00F60190">
        <w:rPr>
          <w:sz w:val="28"/>
          <w:szCs w:val="28"/>
        </w:rPr>
        <w:t>Особым достижением учреждений культуры города Рубцовска явилось их участие в городской народной акции «Непокоренные», организованной в преддверии 70-летия Великой Победы. Целью акции являлся сбор народных сре</w:t>
      </w:r>
      <w:proofErr w:type="gramStart"/>
      <w:r w:rsidRPr="00F60190">
        <w:rPr>
          <w:sz w:val="28"/>
          <w:szCs w:val="28"/>
        </w:rPr>
        <w:t>дств дл</w:t>
      </w:r>
      <w:proofErr w:type="gramEnd"/>
      <w:r w:rsidRPr="00F60190">
        <w:rPr>
          <w:sz w:val="28"/>
          <w:szCs w:val="28"/>
        </w:rPr>
        <w:t>я создания мемориального сквера и мемориальной композиции «Непокоренные», посвященных жертвенному подвигу узников концлагерей, блокадников Ленинграда, мирного населения, пострадавшего от фашизма. Торжественное открытие мемориального сквера «Непокоренные» состоялось в День защиты детей – 1 июня.</w:t>
      </w:r>
    </w:p>
    <w:p w:rsidR="00A3499F" w:rsidRPr="00895D63" w:rsidRDefault="00A3499F" w:rsidP="00A3499F">
      <w:pPr>
        <w:ind w:firstLine="720"/>
        <w:jc w:val="both"/>
        <w:rPr>
          <w:sz w:val="28"/>
          <w:szCs w:val="28"/>
        </w:rPr>
      </w:pPr>
      <w:r w:rsidRPr="00F6019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2015 </w:t>
      </w:r>
      <w:r w:rsidRPr="00F60190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F60190">
        <w:rPr>
          <w:sz w:val="28"/>
          <w:szCs w:val="28"/>
        </w:rPr>
        <w:t xml:space="preserve"> были проведены городские фестивали и конкурсы:</w:t>
      </w:r>
      <w:r w:rsidRPr="00895D63">
        <w:rPr>
          <w:sz w:val="28"/>
          <w:szCs w:val="28"/>
        </w:rPr>
        <w:t xml:space="preserve"> «</w:t>
      </w:r>
      <w:proofErr w:type="spellStart"/>
      <w:r w:rsidRPr="00895D63">
        <w:rPr>
          <w:sz w:val="28"/>
          <w:szCs w:val="28"/>
        </w:rPr>
        <w:t>Гармошечка-говорушечка</w:t>
      </w:r>
      <w:proofErr w:type="spellEnd"/>
      <w:r w:rsidRPr="00895D63">
        <w:rPr>
          <w:sz w:val="28"/>
          <w:szCs w:val="28"/>
        </w:rPr>
        <w:t>», «Новые имена – 2015», «Дарю тебе тепло своей души», «Под небом единым», «</w:t>
      </w:r>
      <w:proofErr w:type="spellStart"/>
      <w:r w:rsidRPr="00895D63">
        <w:rPr>
          <w:sz w:val="28"/>
          <w:szCs w:val="28"/>
        </w:rPr>
        <w:t>Ностальжи</w:t>
      </w:r>
      <w:proofErr w:type="spellEnd"/>
      <w:r w:rsidRPr="00895D63">
        <w:rPr>
          <w:sz w:val="28"/>
          <w:szCs w:val="28"/>
        </w:rPr>
        <w:t>», «Сударыня Рубцовска», «Краса России», «Вокальное народное шоу «Голос».</w:t>
      </w:r>
    </w:p>
    <w:p w:rsidR="00A3499F" w:rsidRDefault="00A3499F" w:rsidP="00A34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 руководством специалистов</w:t>
      </w:r>
      <w:r w:rsidRPr="00895D63">
        <w:rPr>
          <w:sz w:val="28"/>
          <w:szCs w:val="28"/>
        </w:rPr>
        <w:t xml:space="preserve"> управления методистами учреждений велась работа </w:t>
      </w:r>
      <w:r w:rsidRPr="007D0C10">
        <w:rPr>
          <w:sz w:val="28"/>
          <w:szCs w:val="28"/>
        </w:rPr>
        <w:t>по изданию альманаха «Браво, Рубцовск.</w:t>
      </w:r>
      <w:r w:rsidRPr="007D0C10">
        <w:rPr>
          <w:sz w:val="28"/>
          <w:szCs w:val="28"/>
          <w:lang w:val="en-US"/>
        </w:rPr>
        <w:t>ru</w:t>
      </w:r>
      <w:r w:rsidRPr="007D0C10">
        <w:rPr>
          <w:sz w:val="28"/>
          <w:szCs w:val="28"/>
        </w:rPr>
        <w:t>». Основными и приоритетными задачами данного издания являются ознакомление широких масс населения с состоянием дел в сфере культуры, спорта и молодежной политики города, поддержка творческих и спортивных объединений, пропаганда самодеятельного народного творчества, здорового образа жизни, активной гражданской позиции</w:t>
      </w:r>
      <w:r>
        <w:rPr>
          <w:sz w:val="28"/>
          <w:szCs w:val="28"/>
        </w:rPr>
        <w:t xml:space="preserve">. </w:t>
      </w:r>
      <w:r w:rsidRPr="007D0C10">
        <w:rPr>
          <w:sz w:val="28"/>
          <w:szCs w:val="28"/>
        </w:rPr>
        <w:t xml:space="preserve">Сайт МКУ «Управление культуры, спорта и молодежной политики» </w:t>
      </w:r>
      <w:proofErr w:type="gramStart"/>
      <w:r w:rsidRPr="007D0C10">
        <w:rPr>
          <w:sz w:val="28"/>
          <w:szCs w:val="28"/>
        </w:rPr>
        <w:t>г</w:t>
      </w:r>
      <w:proofErr w:type="gramEnd"/>
      <w:r w:rsidRPr="007D0C10">
        <w:rPr>
          <w:sz w:val="28"/>
          <w:szCs w:val="28"/>
        </w:rPr>
        <w:t xml:space="preserve">. Рубцовска </w:t>
      </w:r>
      <w:hyperlink r:id="rId4" w:history="1">
        <w:r w:rsidRPr="007D0C10">
          <w:rPr>
            <w:rStyle w:val="a4"/>
            <w:sz w:val="28"/>
            <w:szCs w:val="28"/>
            <w:lang w:val="en-US"/>
          </w:rPr>
          <w:t>www</w:t>
        </w:r>
        <w:r w:rsidRPr="007D0C10">
          <w:rPr>
            <w:rStyle w:val="a4"/>
            <w:sz w:val="28"/>
            <w:szCs w:val="28"/>
          </w:rPr>
          <w:t>.</w:t>
        </w:r>
        <w:r w:rsidRPr="007D0C10">
          <w:rPr>
            <w:rStyle w:val="a4"/>
            <w:sz w:val="28"/>
            <w:szCs w:val="28"/>
            <w:lang w:val="en-US"/>
          </w:rPr>
          <w:t>bravo</w:t>
        </w:r>
        <w:r w:rsidRPr="007D0C10">
          <w:rPr>
            <w:rStyle w:val="a4"/>
            <w:sz w:val="28"/>
            <w:szCs w:val="28"/>
          </w:rPr>
          <w:t>-</w:t>
        </w:r>
        <w:proofErr w:type="spellStart"/>
        <w:r w:rsidRPr="007D0C10">
          <w:rPr>
            <w:rStyle w:val="a4"/>
            <w:sz w:val="28"/>
            <w:szCs w:val="28"/>
            <w:lang w:val="en-US"/>
          </w:rPr>
          <w:t>rubtsovsk</w:t>
        </w:r>
        <w:proofErr w:type="spellEnd"/>
        <w:r w:rsidRPr="007D0C10">
          <w:rPr>
            <w:rStyle w:val="a4"/>
            <w:sz w:val="28"/>
            <w:szCs w:val="28"/>
          </w:rPr>
          <w:t>.</w:t>
        </w:r>
        <w:proofErr w:type="spellStart"/>
        <w:r w:rsidRPr="007D0C1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7D0C10">
        <w:rPr>
          <w:sz w:val="28"/>
          <w:szCs w:val="28"/>
        </w:rPr>
        <w:t xml:space="preserve"> делает доступной для всех заинтересованных лиц информацию о работе учреждений культуры, отражает в своих материалах  наиболее значимые события в культурной жизни города.</w:t>
      </w:r>
    </w:p>
    <w:p w:rsidR="00A3499F" w:rsidRDefault="00A3499F" w:rsidP="00A3499F">
      <w:pPr>
        <w:ind w:firstLine="708"/>
        <w:jc w:val="both"/>
        <w:rPr>
          <w:sz w:val="28"/>
          <w:szCs w:val="28"/>
        </w:rPr>
      </w:pPr>
      <w:r w:rsidRPr="00895D63">
        <w:rPr>
          <w:sz w:val="28"/>
          <w:szCs w:val="28"/>
        </w:rPr>
        <w:t xml:space="preserve">Для расширения и усиления социальной значимости проводимых мероприятий велась </w:t>
      </w:r>
      <w:r w:rsidRPr="00D224FF">
        <w:rPr>
          <w:sz w:val="28"/>
          <w:szCs w:val="28"/>
        </w:rPr>
        <w:t>совместная работа с общественными организациями</w:t>
      </w:r>
      <w:r w:rsidRPr="00895D63">
        <w:rPr>
          <w:b/>
          <w:sz w:val="28"/>
          <w:szCs w:val="28"/>
        </w:rPr>
        <w:t>:</w:t>
      </w:r>
      <w:r w:rsidRPr="00895D63">
        <w:rPr>
          <w:sz w:val="28"/>
          <w:szCs w:val="28"/>
        </w:rPr>
        <w:t xml:space="preserve"> Городским Советом ветеранов, общественной организацией «Художники города Рубцовска», отделением Алтайской краевой организации имени Героя Советского Союза К.Павлюкова, общероссийской общественной организацией «Российский Союз ветеранов Афганистана» и другими. Проведен ряд мероприятий совместно со специалистами управлений образования, здравоохранения города Рубцовска, комиссией по делам </w:t>
      </w:r>
      <w:r w:rsidRPr="00895D63">
        <w:rPr>
          <w:sz w:val="28"/>
          <w:szCs w:val="28"/>
        </w:rPr>
        <w:lastRenderedPageBreak/>
        <w:t>несовершеннолетних и защите их прав, Территориальным Центром помощи семье и детям.</w:t>
      </w:r>
    </w:p>
    <w:p w:rsidR="00A3499F" w:rsidRDefault="00A3499F" w:rsidP="00A34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индикаторах Подпрограммы и их значениях:</w:t>
      </w:r>
    </w:p>
    <w:p w:rsidR="00A3499F" w:rsidRDefault="00A3499F" w:rsidP="00A3499F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1.  доля объектов культурного наследия, находящихся в муниципальной собственности, состояние которых является удовлетворительным, в общем количестве объектов культурного наследия, находящихся в муниципальной собственности составила  80 %; </w:t>
      </w:r>
    </w:p>
    <w:p w:rsidR="00A3499F" w:rsidRDefault="00A3499F" w:rsidP="00A3499F">
      <w:pPr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доля учреждений культуры, находящихся в муниципальной собственности, состояние зданий которых является удовлетворительным, в общем количестве учреждений культуры, находящихся в муниципальной собственности -  75 %; </w:t>
      </w:r>
    </w:p>
    <w:p w:rsidR="00A3499F" w:rsidRDefault="00A3499F" w:rsidP="00A3499F">
      <w:pPr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доля учреждений культуры, находящихся в муниципальной собственности, состояние материально-технической базы которых является удовлетворительным, в общем количестве учреждений культуры, находящихся   в муниципальной собственности  - 90 %;</w:t>
      </w:r>
    </w:p>
    <w:p w:rsidR="00A3499F" w:rsidRDefault="00A3499F" w:rsidP="00A3499F">
      <w:pPr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  увеличение количества платных посещений театрально-концертных мероприятий  МБУК «Рубцовский драматический театр»: план – 36,2 тыс. чел., факт - 38,1 тыс. чел.;</w:t>
      </w:r>
    </w:p>
    <w:p w:rsidR="00A3499F" w:rsidRDefault="00A3499F" w:rsidP="00A3499F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5.   увеличение количества платных посещений театрально-концертных мероприятий учреждений культурно-досугового типа:</w:t>
      </w:r>
      <w:r w:rsidRPr="00AF624D">
        <w:rPr>
          <w:sz w:val="28"/>
          <w:szCs w:val="28"/>
        </w:rPr>
        <w:t xml:space="preserve"> </w:t>
      </w:r>
      <w:r>
        <w:rPr>
          <w:sz w:val="28"/>
          <w:szCs w:val="28"/>
        </w:rPr>
        <w:t>план – 86,2 тыс. человек, факт - 90,2 тыс. чел.;</w:t>
      </w:r>
    </w:p>
    <w:p w:rsidR="00A3499F" w:rsidRDefault="00A3499F" w:rsidP="00A3499F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6. увеличение количества представленных зрителю во всех формах музейных предметов основного фонда музеев города Рубцовска:</w:t>
      </w:r>
      <w:r w:rsidRPr="006840C6">
        <w:rPr>
          <w:sz w:val="28"/>
          <w:szCs w:val="28"/>
        </w:rPr>
        <w:t xml:space="preserve"> </w:t>
      </w:r>
      <w:r>
        <w:rPr>
          <w:sz w:val="28"/>
          <w:szCs w:val="28"/>
        </w:rPr>
        <w:t>план – 5270 единиц, факт – 5270 единиц;</w:t>
      </w:r>
    </w:p>
    <w:p w:rsidR="00A3499F" w:rsidRDefault="00A3499F" w:rsidP="00A3499F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7. увеличение количества посещений музейных учреждений:</w:t>
      </w:r>
      <w:r w:rsidRPr="002B055D">
        <w:rPr>
          <w:sz w:val="28"/>
          <w:szCs w:val="28"/>
        </w:rPr>
        <w:t xml:space="preserve"> </w:t>
      </w:r>
      <w:r>
        <w:rPr>
          <w:sz w:val="28"/>
          <w:szCs w:val="28"/>
        </w:rPr>
        <w:t>план – 48,5 тыс. чел., факт – 47,6  тыс. чел. (выполнено на 98 % в связи с  проведением работ сотрудниками Краеведческого музея по приемке фондов музея АТЗ);</w:t>
      </w:r>
    </w:p>
    <w:p w:rsidR="00A3499F" w:rsidRDefault="00A3499F" w:rsidP="00A3499F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8.  увеличение количества посещений библиотек: план – 322,3 тыс. чел., факт – 336,9 тыс. чел.;</w:t>
      </w:r>
    </w:p>
    <w:p w:rsidR="00A3499F" w:rsidRDefault="00A3499F" w:rsidP="00A3499F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9.  увеличение числа детей, пользующихся библиотеками, в общей численности населения города в возрасте до 14 лет: план – 67 %, факт – 67%;</w:t>
      </w:r>
    </w:p>
    <w:p w:rsidR="00A3499F" w:rsidRDefault="00A3499F" w:rsidP="00A3499F">
      <w:p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10. увеличение </w:t>
      </w:r>
      <w:proofErr w:type="gramStart"/>
      <w:r>
        <w:rPr>
          <w:sz w:val="28"/>
          <w:szCs w:val="28"/>
        </w:rPr>
        <w:t>количества участий учащихся учреждений дополнительного образования детей</w:t>
      </w:r>
      <w:proofErr w:type="gramEnd"/>
      <w:r>
        <w:rPr>
          <w:sz w:val="28"/>
          <w:szCs w:val="28"/>
        </w:rPr>
        <w:t xml:space="preserve"> в международных, региональных и краевых конкурсах: план – 330 единиц, факт – 330 единиц.</w:t>
      </w:r>
    </w:p>
    <w:p w:rsidR="00A3499F" w:rsidRDefault="00A3499F" w:rsidP="00A34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 реализации Подпрограммы можно сделать вывод, что согласно методике оценки, эффективность Подпрограммы составляет 97,7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%. Это является высоким уровнем эффективности.</w:t>
      </w:r>
    </w:p>
    <w:p w:rsidR="00A3499F" w:rsidRDefault="00A3499F" w:rsidP="00A3499F">
      <w:pPr>
        <w:jc w:val="both"/>
        <w:rPr>
          <w:sz w:val="28"/>
          <w:szCs w:val="28"/>
        </w:rPr>
      </w:pPr>
    </w:p>
    <w:p w:rsidR="00A3499F" w:rsidRPr="00AB29E3" w:rsidRDefault="00A3499F" w:rsidP="00A3499F">
      <w:pPr>
        <w:jc w:val="both"/>
        <w:rPr>
          <w:sz w:val="28"/>
          <w:szCs w:val="28"/>
        </w:rPr>
      </w:pPr>
    </w:p>
    <w:p w:rsidR="00A3499F" w:rsidRDefault="00A3499F" w:rsidP="00A3499F">
      <w:pPr>
        <w:pStyle w:val="a3"/>
        <w:ind w:left="0"/>
        <w:jc w:val="right"/>
        <w:rPr>
          <w:sz w:val="28"/>
          <w:szCs w:val="28"/>
        </w:rPr>
      </w:pPr>
    </w:p>
    <w:p w:rsidR="00A3499F" w:rsidRDefault="00A3499F" w:rsidP="00A3499F">
      <w:pPr>
        <w:pStyle w:val="a3"/>
        <w:ind w:left="0"/>
        <w:jc w:val="right"/>
        <w:rPr>
          <w:sz w:val="28"/>
          <w:szCs w:val="28"/>
        </w:rPr>
      </w:pPr>
    </w:p>
    <w:p w:rsidR="00A3499F" w:rsidRPr="00B5604C" w:rsidRDefault="00A3499F" w:rsidP="00A3499F">
      <w:pPr>
        <w:pStyle w:val="a3"/>
        <w:ind w:left="0"/>
      </w:pPr>
      <w:r w:rsidRPr="00B5604C">
        <w:t>Исп.</w:t>
      </w:r>
      <w:r>
        <w:t xml:space="preserve"> </w:t>
      </w:r>
      <w:r w:rsidRPr="00B5604C">
        <w:t xml:space="preserve">М.С. Хворостинина </w:t>
      </w:r>
    </w:p>
    <w:p w:rsidR="00A3499F" w:rsidRPr="00B5604C" w:rsidRDefault="00A3499F" w:rsidP="00A3499F">
      <w:pPr>
        <w:pStyle w:val="a3"/>
        <w:ind w:left="0"/>
      </w:pPr>
      <w:r w:rsidRPr="00B5604C">
        <w:t>41604</w:t>
      </w:r>
    </w:p>
    <w:p w:rsidR="007B4590" w:rsidRDefault="007B4590"/>
    <w:sectPr w:rsidR="007B4590" w:rsidSect="00A349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99F"/>
    <w:rsid w:val="00102B1C"/>
    <w:rsid w:val="001320C4"/>
    <w:rsid w:val="007B4590"/>
    <w:rsid w:val="00860302"/>
    <w:rsid w:val="00A3499F"/>
    <w:rsid w:val="00AE2F7C"/>
    <w:rsid w:val="00C30EA8"/>
    <w:rsid w:val="00C6265D"/>
    <w:rsid w:val="00CD4814"/>
    <w:rsid w:val="00D54B5C"/>
    <w:rsid w:val="00E40F7F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499F"/>
    <w:pPr>
      <w:ind w:left="720"/>
      <w:contextualSpacing/>
    </w:pPr>
  </w:style>
  <w:style w:type="character" w:styleId="a4">
    <w:name w:val="Hyperlink"/>
    <w:uiPriority w:val="99"/>
    <w:rsid w:val="00A349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ravo-rubts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1136</Words>
  <Characters>6481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dcterms:created xsi:type="dcterms:W3CDTF">2016-04-27T08:18:00Z</dcterms:created>
  <dcterms:modified xsi:type="dcterms:W3CDTF">2016-04-27T08:18:00Z</dcterms:modified>
</cp:coreProperties>
</file>