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AF" w:rsidRPr="00CA42AF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Годовой отчет</w:t>
      </w:r>
    </w:p>
    <w:p w:rsidR="00CA42AF" w:rsidRPr="00CA42AF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 ходе реализации и оценке эффективности  муниципальной  программы</w:t>
      </w:r>
    </w:p>
    <w:p w:rsidR="00CA42AF" w:rsidRPr="00CA42AF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«Совершенствование системы учета и управления</w:t>
      </w:r>
    </w:p>
    <w:p w:rsidR="00CA42AF" w:rsidRPr="00CA42AF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объектами недвижимости муниципального образования</w:t>
      </w:r>
    </w:p>
    <w:p w:rsidR="00CA42AF" w:rsidRPr="00F73DEC" w:rsidRDefault="00CA42AF" w:rsidP="00F73DEC">
      <w:pPr>
        <w:spacing w:after="0" w:line="240" w:lineRule="auto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город Рубцовск Алтайского края» на 2019-2023 годы</w:t>
      </w:r>
      <w:r w:rsidR="00F74E99">
        <w:rPr>
          <w:rFonts w:eastAsiaTheme="minorEastAsia"/>
          <w:b w:val="0"/>
        </w:rPr>
        <w:t xml:space="preserve">, утвержденной </w:t>
      </w:r>
      <w:r w:rsidR="00F74E99" w:rsidRPr="00F74E99">
        <w:rPr>
          <w:b w:val="0"/>
          <w:sz w:val="27"/>
          <w:szCs w:val="27"/>
        </w:rPr>
        <w:t xml:space="preserve">постановлением Администрации города Рубцовска Алтайского края от 23.10.2018 № 2743(с изменениями от 06.02.2019 № 241, от 18.02.2020 № 347, от 05.02.2021 № 261, от 24.09.2021 № 2572, от 27.12.2021 № 3650, от 03.02.2022 № </w:t>
      </w:r>
      <w:r w:rsidR="00F74E99" w:rsidRPr="00F73DEC">
        <w:rPr>
          <w:rFonts w:eastAsiaTheme="minorEastAsia"/>
          <w:b w:val="0"/>
        </w:rPr>
        <w:t>268, от 26.08.2022 № 2748, от 07.11.2022 № 3587, от 27.12.2022 № 4267)</w:t>
      </w:r>
    </w:p>
    <w:p w:rsidR="00CA42AF" w:rsidRPr="00CA42AF" w:rsidRDefault="00CE27A7" w:rsidP="00F73DEC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>
        <w:rPr>
          <w:rFonts w:eastAsiaTheme="minorEastAsia"/>
          <w:b w:val="0"/>
        </w:rPr>
        <w:t>за 2022</w:t>
      </w:r>
      <w:r w:rsidR="00CA42AF" w:rsidRPr="00CA42AF">
        <w:rPr>
          <w:rFonts w:eastAsiaTheme="minorEastAsia"/>
          <w:b w:val="0"/>
        </w:rPr>
        <w:t xml:space="preserve"> год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С целью </w:t>
      </w:r>
      <w:r w:rsidR="00B9037E">
        <w:rPr>
          <w:rFonts w:eastAsiaTheme="minorEastAsia"/>
          <w:b w:val="0"/>
        </w:rPr>
        <w:t xml:space="preserve">оптимизации системы учета и </w:t>
      </w:r>
      <w:r w:rsidRPr="00CA42AF">
        <w:rPr>
          <w:rFonts w:eastAsiaTheme="minorEastAsia"/>
          <w:b w:val="0"/>
        </w:rPr>
        <w:t>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Администрации города Рубцовска по управлению имуществом разработана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</w:t>
      </w:r>
      <w:r w:rsidR="00B9037E">
        <w:rPr>
          <w:rFonts w:eastAsiaTheme="minorEastAsia"/>
          <w:b w:val="0"/>
        </w:rPr>
        <w:t xml:space="preserve"> 2019-2023 годы (далее</w:t>
      </w:r>
      <w:r w:rsidRPr="00CA42AF">
        <w:rPr>
          <w:rFonts w:eastAsiaTheme="minorEastAsia"/>
          <w:b w:val="0"/>
        </w:rPr>
        <w:t xml:space="preserve"> – Программа). </w:t>
      </w:r>
    </w:p>
    <w:p w:rsidR="00CA42AF" w:rsidRPr="00CA42AF" w:rsidRDefault="00B9037E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>
        <w:rPr>
          <w:rFonts w:eastAsiaTheme="minorEastAsia"/>
          <w:b w:val="0"/>
        </w:rPr>
        <w:t xml:space="preserve">Для </w:t>
      </w:r>
      <w:r w:rsidR="00CA42AF" w:rsidRPr="00CA42AF">
        <w:rPr>
          <w:rFonts w:eastAsiaTheme="minorEastAsia"/>
          <w:b w:val="0"/>
        </w:rPr>
        <w:t xml:space="preserve">достижения поставленной цели </w:t>
      </w:r>
      <w:r>
        <w:rPr>
          <w:rFonts w:eastAsiaTheme="minorEastAsia"/>
          <w:b w:val="0"/>
        </w:rPr>
        <w:t>необходимо решение следующих задач:</w:t>
      </w:r>
    </w:p>
    <w:p w:rsidR="00CA42AF" w:rsidRPr="00CA42AF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разграничение государственной собственности на землю на территории муниципального образования город Рубцовск Алтайского края- подготовка документации, необходимой для учета земельных участков; </w:t>
      </w:r>
    </w:p>
    <w:p w:rsidR="00CA42AF" w:rsidRPr="00CA42AF" w:rsidRDefault="00CA42AF" w:rsidP="00CA42AF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формирование собственности муниципального образования город  Рубцовск Алтайского края;</w:t>
      </w:r>
    </w:p>
    <w:p w:rsidR="00CA42AF" w:rsidRPr="00CA42AF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гражданско</w:t>
      </w:r>
      <w:r w:rsidR="00CE27A7">
        <w:rPr>
          <w:rFonts w:eastAsia="Times New Roman"/>
          <w:b w:val="0"/>
        </w:rPr>
        <w:t>-</w:t>
      </w:r>
      <w:r w:rsidRPr="00CA42AF">
        <w:rPr>
          <w:rFonts w:eastAsia="Times New Roman"/>
          <w:b w:val="0"/>
        </w:rPr>
        <w:t xml:space="preserve">правовой оборот;             </w:t>
      </w:r>
    </w:p>
    <w:p w:rsidR="00CA42AF" w:rsidRDefault="00CA42AF" w:rsidP="00B9037E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совершенствование системы учета земельных участков, управление ими и сделок с ними. </w:t>
      </w:r>
    </w:p>
    <w:p w:rsidR="00F73DEC" w:rsidRPr="00031161" w:rsidRDefault="00F73DEC" w:rsidP="00F73DEC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  <w:color w:val="000000" w:themeColor="text1"/>
        </w:rPr>
      </w:pPr>
      <w:proofErr w:type="gramStart"/>
      <w:r w:rsidRPr="00031161">
        <w:rPr>
          <w:rFonts w:eastAsiaTheme="minorEastAsia"/>
          <w:b w:val="0"/>
          <w:color w:val="000000" w:themeColor="text1"/>
        </w:rPr>
        <w:t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(с изменениями) и постановлениями Администрации города Рубцовска Алтайского края от 03.02.2022 № 268, от 26.08.2022 № 2748, от 07.11.2022 № 3587, от 27.12.2022 № 4267 в Программу были внесены изменения, касающиеся объемов финансирования.</w:t>
      </w:r>
      <w:proofErr w:type="gramEnd"/>
      <w:r w:rsidRPr="00031161">
        <w:rPr>
          <w:rFonts w:eastAsiaTheme="minorEastAsia"/>
          <w:b w:val="0"/>
          <w:color w:val="000000" w:themeColor="text1"/>
        </w:rPr>
        <w:t xml:space="preserve"> Изменения были связаны с выделением </w:t>
      </w:r>
      <w:r w:rsidR="00031161">
        <w:rPr>
          <w:rFonts w:eastAsiaTheme="minorEastAsia"/>
          <w:b w:val="0"/>
          <w:color w:val="000000" w:themeColor="text1"/>
        </w:rPr>
        <w:t>дополнительных ассигнований</w:t>
      </w:r>
      <w:r w:rsidRPr="00031161">
        <w:rPr>
          <w:rFonts w:eastAsiaTheme="minorEastAsia"/>
          <w:b w:val="0"/>
          <w:color w:val="000000" w:themeColor="text1"/>
        </w:rPr>
        <w:t>. Плановое финансирование 1082,0 тысяч рублей.</w:t>
      </w:r>
    </w:p>
    <w:p w:rsidR="00B9037E" w:rsidRPr="00B9037E" w:rsidRDefault="00B9037E" w:rsidP="00B9037E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B9037E">
        <w:rPr>
          <w:b w:val="0"/>
        </w:rPr>
        <w:t xml:space="preserve">В рамках реализации мероприятий Программы за отчетный период были выполнены следующие работы (получены услуги) на общую сумму </w:t>
      </w:r>
      <w:r>
        <w:rPr>
          <w:b w:val="0"/>
        </w:rPr>
        <w:t>914,4</w:t>
      </w:r>
      <w:r w:rsidRPr="00B9037E">
        <w:rPr>
          <w:b w:val="0"/>
        </w:rPr>
        <w:t xml:space="preserve"> тысяч рублей:</w:t>
      </w:r>
    </w:p>
    <w:p w:rsidR="00CA42AF" w:rsidRPr="00B9037E" w:rsidRDefault="00CA42AF" w:rsidP="00B9037E">
      <w:pPr>
        <w:pStyle w:val="a3"/>
        <w:numPr>
          <w:ilvl w:val="1"/>
          <w:numId w:val="1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rPr>
          <w:rFonts w:eastAsiaTheme="minorEastAsia"/>
          <w:b w:val="0"/>
        </w:rPr>
      </w:pPr>
      <w:r w:rsidRPr="00B9037E">
        <w:rPr>
          <w:rFonts w:eastAsiaTheme="minorEastAsia"/>
          <w:b w:val="0"/>
        </w:rPr>
        <w:t>Оценка права аренды земельных участков, предоставляемых с</w:t>
      </w:r>
      <w:r w:rsidR="00B9037E" w:rsidRPr="00B9037E">
        <w:rPr>
          <w:rFonts w:eastAsiaTheme="minorEastAsia"/>
          <w:b w:val="0"/>
        </w:rPr>
        <w:t xml:space="preserve"> торгов под строительство, сумма</w:t>
      </w:r>
      <w:r w:rsidRPr="00B9037E">
        <w:rPr>
          <w:rFonts w:eastAsiaTheme="minorEastAsia"/>
          <w:b w:val="0"/>
        </w:rPr>
        <w:t xml:space="preserve"> затрат </w:t>
      </w:r>
      <w:r w:rsidR="00B9037E" w:rsidRPr="00B9037E">
        <w:rPr>
          <w:rFonts w:eastAsiaTheme="minorEastAsia"/>
          <w:b w:val="0"/>
        </w:rPr>
        <w:t>13,9 тысяч</w:t>
      </w:r>
      <w:r w:rsidRPr="00B9037E">
        <w:rPr>
          <w:rFonts w:eastAsiaTheme="minorEastAsia"/>
          <w:b w:val="0"/>
        </w:rPr>
        <w:t xml:space="preserve"> руб</w:t>
      </w:r>
      <w:r w:rsidR="00B9037E" w:rsidRPr="00B9037E">
        <w:rPr>
          <w:rFonts w:eastAsiaTheme="minorEastAsia"/>
          <w:b w:val="0"/>
        </w:rPr>
        <w:t>лей</w:t>
      </w:r>
      <w:r w:rsidRPr="00B9037E">
        <w:rPr>
          <w:rFonts w:eastAsiaTheme="minorEastAsia"/>
          <w:b w:val="0"/>
        </w:rPr>
        <w:t>.</w:t>
      </w:r>
    </w:p>
    <w:p w:rsidR="00B9037E" w:rsidRPr="00B9037E" w:rsidRDefault="00B9037E" w:rsidP="00B9037E">
      <w:pPr>
        <w:pStyle w:val="a3"/>
        <w:numPr>
          <w:ilvl w:val="1"/>
          <w:numId w:val="1"/>
        </w:numPr>
        <w:shd w:val="clear" w:color="auto" w:fill="auto"/>
        <w:tabs>
          <w:tab w:val="left" w:pos="709"/>
        </w:tabs>
        <w:spacing w:after="0" w:line="240" w:lineRule="auto"/>
        <w:ind w:left="0" w:firstLine="710"/>
        <w:rPr>
          <w:rFonts w:eastAsiaTheme="minorEastAsia"/>
          <w:b w:val="0"/>
        </w:rPr>
      </w:pPr>
      <w:r w:rsidRPr="00B9037E">
        <w:rPr>
          <w:rFonts w:eastAsiaTheme="minorEastAsia"/>
          <w:b w:val="0"/>
        </w:rPr>
        <w:t xml:space="preserve">Экономическое обоснование расчета арендной платы за земельные участки муниципального образования город Рубцовск Алтайского </w:t>
      </w:r>
      <w:r w:rsidRPr="00B9037E">
        <w:rPr>
          <w:rFonts w:eastAsiaTheme="minorEastAsia"/>
          <w:b w:val="0"/>
        </w:rPr>
        <w:lastRenderedPageBreak/>
        <w:t>края и земельные участки, государственная собственн</w:t>
      </w:r>
      <w:r>
        <w:rPr>
          <w:rFonts w:eastAsiaTheme="minorEastAsia"/>
          <w:b w:val="0"/>
        </w:rPr>
        <w:t>ость на которые не разграничена: выполнены работы по экономическому обоснованию размера коэффи</w:t>
      </w:r>
      <w:r w:rsidR="0059688E">
        <w:rPr>
          <w:rFonts w:eastAsiaTheme="minorEastAsia"/>
          <w:b w:val="0"/>
        </w:rPr>
        <w:t>циентов, применяемых при расчете</w:t>
      </w:r>
      <w:r>
        <w:rPr>
          <w:rFonts w:eastAsiaTheme="minorEastAsia"/>
          <w:b w:val="0"/>
        </w:rPr>
        <w:t xml:space="preserve"> арендной платы за использование земельных участков</w:t>
      </w:r>
      <w:r w:rsidR="0059688E">
        <w:rPr>
          <w:rFonts w:eastAsiaTheme="minorEastAsia"/>
          <w:b w:val="0"/>
        </w:rPr>
        <w:t>, сумма затрат – 170,0 тысяч рублей.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2.1</w:t>
      </w:r>
      <w:r w:rsidR="00B9037E">
        <w:rPr>
          <w:rFonts w:eastAsiaTheme="minorEastAsia"/>
          <w:b w:val="0"/>
        </w:rPr>
        <w:t>.</w:t>
      </w:r>
      <w:r w:rsidRPr="00CA42AF">
        <w:rPr>
          <w:rFonts w:eastAsiaTheme="minorEastAsia"/>
          <w:b w:val="0"/>
        </w:rPr>
        <w:t xml:space="preserve"> Проведение межевания и кадастровых работ для постановки на кадастровый учет земельных участков под объектами казны и объектами, находящимися в муниципальной собственности и многоквартирными жилыми домами</w:t>
      </w:r>
      <w:r w:rsidR="0059688E">
        <w:rPr>
          <w:rFonts w:eastAsiaTheme="minorEastAsia"/>
          <w:b w:val="0"/>
        </w:rPr>
        <w:t>, сумма затрат – 197,3 тысяч</w:t>
      </w:r>
      <w:r w:rsidRPr="00CA42AF">
        <w:rPr>
          <w:rFonts w:eastAsiaTheme="minorEastAsia"/>
          <w:b w:val="0"/>
        </w:rPr>
        <w:t xml:space="preserve"> руб</w:t>
      </w:r>
      <w:r w:rsidR="0059688E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3.1</w:t>
      </w:r>
      <w:r w:rsidR="0059688E">
        <w:rPr>
          <w:rFonts w:eastAsiaTheme="minorEastAsia"/>
          <w:b w:val="0"/>
        </w:rPr>
        <w:t>.</w:t>
      </w:r>
      <w:r w:rsidRPr="00CA42AF">
        <w:rPr>
          <w:rFonts w:eastAsiaTheme="minorEastAsia"/>
          <w:b w:val="0"/>
        </w:rPr>
        <w:t xml:space="preserve"> Подготовка судебных исков в различные судебные инстанции и предъявление претензий по договорам аренды з</w:t>
      </w:r>
      <w:r w:rsidR="0059688E">
        <w:rPr>
          <w:rFonts w:eastAsiaTheme="minorEastAsia"/>
          <w:b w:val="0"/>
        </w:rPr>
        <w:t>емельных участков, сумма затрат – 338,6 тысяч</w:t>
      </w:r>
      <w:r w:rsidRPr="00CA42AF">
        <w:rPr>
          <w:rFonts w:eastAsiaTheme="minorEastAsia"/>
          <w:b w:val="0"/>
        </w:rPr>
        <w:t xml:space="preserve"> руб</w:t>
      </w:r>
      <w:r w:rsidR="0059688E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59688E" w:rsidRDefault="0059688E" w:rsidP="0059688E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4.1. Обеспечение рабочих станций (орг. техника, оборудование), затраты отсутствуют.</w:t>
      </w:r>
    </w:p>
    <w:p w:rsidR="00CA42AF" w:rsidRPr="00CA42AF" w:rsidRDefault="00CA42AF" w:rsidP="0059688E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4.2</w:t>
      </w:r>
      <w:r w:rsidR="0059688E">
        <w:rPr>
          <w:rFonts w:eastAsia="Times New Roman"/>
          <w:b w:val="0"/>
        </w:rPr>
        <w:t>.</w:t>
      </w:r>
      <w:r w:rsidRPr="00CA42AF">
        <w:rPr>
          <w:rFonts w:eastAsia="Times New Roman"/>
          <w:b w:val="0"/>
        </w:rPr>
        <w:t xml:space="preserve"> Заключение договоров </w:t>
      </w:r>
      <w:r w:rsidR="0059688E">
        <w:rPr>
          <w:rFonts w:eastAsia="Times New Roman"/>
          <w:b w:val="0"/>
        </w:rPr>
        <w:t>на обслуживание рабочих станций: заправка картриджей, сумма затрат – 69,0 тысяч</w:t>
      </w:r>
      <w:r w:rsidRPr="00CA42AF">
        <w:rPr>
          <w:rFonts w:eastAsia="Times New Roman"/>
          <w:b w:val="0"/>
        </w:rPr>
        <w:t xml:space="preserve"> руб</w:t>
      </w:r>
      <w:r w:rsidR="0059688E">
        <w:rPr>
          <w:rFonts w:eastAsia="Times New Roman"/>
          <w:b w:val="0"/>
        </w:rPr>
        <w:t>лей</w:t>
      </w:r>
      <w:r w:rsidRPr="00CA42AF">
        <w:rPr>
          <w:rFonts w:eastAsia="Times New Roman"/>
          <w:b w:val="0"/>
        </w:rPr>
        <w:t>.</w:t>
      </w:r>
    </w:p>
    <w:p w:rsidR="00CA42AF" w:rsidRPr="00CA42AF" w:rsidRDefault="00CA42AF" w:rsidP="0059688E">
      <w:pPr>
        <w:shd w:val="clear" w:color="auto" w:fill="auto"/>
        <w:tabs>
          <w:tab w:val="left" w:pos="567"/>
        </w:tabs>
        <w:spacing w:after="0" w:line="240" w:lineRule="auto"/>
        <w:ind w:firstLine="709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>4.3</w:t>
      </w:r>
      <w:r w:rsidR="0059688E">
        <w:rPr>
          <w:rFonts w:eastAsiaTheme="minorEastAsia"/>
          <w:b w:val="0"/>
        </w:rPr>
        <w:t>.</w:t>
      </w:r>
      <w:r w:rsidRPr="00CA42AF">
        <w:rPr>
          <w:rFonts w:eastAsiaTheme="minorEastAsia"/>
          <w:b w:val="0"/>
        </w:rPr>
        <w:t xml:space="preserve"> Заключение договоров на обслуживание программ учета объектов и земельных участков недвижимости (</w:t>
      </w:r>
      <w:r w:rsidRPr="00CA42AF">
        <w:rPr>
          <w:rFonts w:eastAsiaTheme="minorEastAsia"/>
          <w:b w:val="0"/>
          <w:lang w:val="en-US"/>
        </w:rPr>
        <w:t>SAUMI</w:t>
      </w:r>
      <w:r w:rsidRPr="00CA42AF">
        <w:rPr>
          <w:rFonts w:eastAsiaTheme="minorEastAsia"/>
          <w:b w:val="0"/>
        </w:rPr>
        <w:t>), 1С Бухгалтерия, сумма затрат</w:t>
      </w:r>
      <w:r w:rsidR="0059688E">
        <w:rPr>
          <w:rFonts w:eastAsiaTheme="minorEastAsia"/>
          <w:b w:val="0"/>
        </w:rPr>
        <w:t xml:space="preserve"> - 50,0</w:t>
      </w:r>
      <w:r w:rsidRPr="00CA42AF">
        <w:rPr>
          <w:rFonts w:eastAsiaTheme="minorEastAsia"/>
          <w:b w:val="0"/>
        </w:rPr>
        <w:t xml:space="preserve"> тыс</w:t>
      </w:r>
      <w:r w:rsidR="0059688E">
        <w:rPr>
          <w:rFonts w:eastAsiaTheme="minorEastAsia"/>
          <w:b w:val="0"/>
        </w:rPr>
        <w:t>яч</w:t>
      </w:r>
      <w:r w:rsidRPr="00CA42AF">
        <w:rPr>
          <w:rFonts w:eastAsiaTheme="minorEastAsia"/>
          <w:b w:val="0"/>
        </w:rPr>
        <w:t xml:space="preserve"> руб</w:t>
      </w:r>
      <w:r w:rsidR="0059688E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4.4</w:t>
      </w:r>
      <w:r w:rsidR="0059688E">
        <w:rPr>
          <w:rFonts w:eastAsiaTheme="minorEastAsia"/>
          <w:b w:val="0"/>
        </w:rPr>
        <w:t>.</w:t>
      </w:r>
      <w:r w:rsidRPr="00CA42AF">
        <w:rPr>
          <w:rFonts w:eastAsiaTheme="minorEastAsia"/>
          <w:b w:val="0"/>
        </w:rPr>
        <w:t xml:space="preserve"> Подготовка и переподготовка по программам обеспечения учета объектов недвижимости, земельных участков, по</w:t>
      </w:r>
      <w:r w:rsidR="0059688E">
        <w:rPr>
          <w:rFonts w:eastAsiaTheme="minorEastAsia"/>
          <w:b w:val="0"/>
        </w:rPr>
        <w:t>сещение конференций и семинаров: прохождение курса повышения квалификации в формате видеоконференции сотрудником комитета, сумма затрат 10,5 тысяч</w:t>
      </w:r>
      <w:r w:rsidRPr="00CA42AF">
        <w:rPr>
          <w:rFonts w:eastAsiaTheme="minorEastAsia"/>
          <w:b w:val="0"/>
        </w:rPr>
        <w:t xml:space="preserve"> руб</w:t>
      </w:r>
      <w:r w:rsidR="0059688E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284"/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4.5</w:t>
      </w:r>
      <w:r w:rsidR="0059688E">
        <w:rPr>
          <w:rFonts w:eastAsiaTheme="minorEastAsia"/>
          <w:b w:val="0"/>
        </w:rPr>
        <w:t>.</w:t>
      </w:r>
      <w:r w:rsidRPr="00CA42AF">
        <w:rPr>
          <w:rFonts w:eastAsiaTheme="minorEastAsia"/>
          <w:b w:val="0"/>
        </w:rPr>
        <w:t xml:space="preserve"> Техническое и материальное обесп</w:t>
      </w:r>
      <w:r w:rsidR="0059688E">
        <w:rPr>
          <w:rFonts w:eastAsiaTheme="minorEastAsia"/>
          <w:b w:val="0"/>
        </w:rPr>
        <w:t>ечение рабочих мест сотрудников: приобретены материальные запасы, сумма затрат – 65,1 тысяч</w:t>
      </w:r>
      <w:r w:rsidRPr="00CA42AF">
        <w:rPr>
          <w:rFonts w:eastAsiaTheme="minorEastAsia"/>
          <w:b w:val="0"/>
        </w:rPr>
        <w:t xml:space="preserve"> руб</w:t>
      </w:r>
      <w:r w:rsidR="0059688E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Резуль</w:t>
      </w:r>
      <w:r w:rsidR="00E577B3">
        <w:rPr>
          <w:rFonts w:eastAsiaTheme="minorEastAsia"/>
          <w:b w:val="0"/>
        </w:rPr>
        <w:t>таты реализации Программы в 2022</w:t>
      </w:r>
      <w:r w:rsidRPr="00CA42AF">
        <w:rPr>
          <w:rFonts w:eastAsiaTheme="minorEastAsia"/>
          <w:b w:val="0"/>
        </w:rPr>
        <w:t xml:space="preserve"> году выражаются через качественные и кол</w:t>
      </w:r>
      <w:r w:rsidR="00E577B3">
        <w:rPr>
          <w:rFonts w:eastAsiaTheme="minorEastAsia"/>
          <w:b w:val="0"/>
        </w:rPr>
        <w:t>ичественные показатели, такие как</w:t>
      </w:r>
      <w:r w:rsidRPr="00CA42AF">
        <w:rPr>
          <w:rFonts w:eastAsiaTheme="minorEastAsia"/>
          <w:b w:val="0"/>
        </w:rPr>
        <w:t xml:space="preserve">: </w:t>
      </w:r>
    </w:p>
    <w:p w:rsidR="00CA42AF" w:rsidRPr="00CA42AF" w:rsidRDefault="00CA42AF" w:rsidP="00CA42AF">
      <w:pPr>
        <w:tabs>
          <w:tab w:val="left" w:pos="709"/>
        </w:tabs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1. Количество отчетов по оценке права аренды земельных участков, предоставляемых с торгов под строительство </w:t>
      </w:r>
      <w:r w:rsidR="00E577B3">
        <w:rPr>
          <w:rFonts w:eastAsiaTheme="minorEastAsia"/>
          <w:b w:val="0"/>
        </w:rPr>
        <w:t>–получено 14 отчетов (план 14 шт.)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2. Количество межевых планов земельных участков подлежащих межеванию и постановке на кадастровый учет </w:t>
      </w:r>
      <w:r w:rsidR="00E577B3">
        <w:rPr>
          <w:rFonts w:eastAsiaTheme="minorEastAsia"/>
          <w:b w:val="0"/>
        </w:rPr>
        <w:t>–73 шт. (план 10 шт.).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eastAsia="en-US"/>
        </w:rPr>
        <w:t xml:space="preserve">          3. Количество рассмотренных различными  судебными инстанциями судебных дел – рассмотрено </w:t>
      </w:r>
      <w:r w:rsidR="00F74E99">
        <w:rPr>
          <w:rFonts w:eastAsiaTheme="minorHAnsi"/>
          <w:b w:val="0"/>
          <w:lang w:eastAsia="en-US"/>
        </w:rPr>
        <w:t>315 дел (план</w:t>
      </w:r>
      <w:r w:rsidRPr="00CA42AF">
        <w:rPr>
          <w:rFonts w:eastAsiaTheme="minorHAnsi"/>
          <w:b w:val="0"/>
          <w:lang w:eastAsia="en-US"/>
        </w:rPr>
        <w:t xml:space="preserve"> 200</w:t>
      </w:r>
      <w:r w:rsidR="00F74E99">
        <w:rPr>
          <w:rFonts w:eastAsiaTheme="minorHAnsi"/>
          <w:b w:val="0"/>
          <w:lang w:eastAsia="en-US"/>
        </w:rPr>
        <w:t xml:space="preserve"> ед.)</w:t>
      </w:r>
      <w:r w:rsidRPr="00CA42AF">
        <w:rPr>
          <w:rFonts w:eastAsiaTheme="minorHAnsi"/>
          <w:b w:val="0"/>
          <w:lang w:eastAsia="en-US"/>
        </w:rPr>
        <w:t>.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eastAsia="en-US"/>
        </w:rPr>
        <w:t xml:space="preserve">          4. Количество предъявленных претензий по договорам аренды земельных участков </w:t>
      </w:r>
      <w:r w:rsidR="003666A7">
        <w:rPr>
          <w:rFonts w:eastAsiaTheme="minorHAnsi"/>
          <w:b w:val="0"/>
          <w:lang w:eastAsia="en-US"/>
        </w:rPr>
        <w:t>- предъявлено</w:t>
      </w:r>
      <w:r w:rsidR="00F74E99">
        <w:rPr>
          <w:rFonts w:eastAsiaTheme="minorHAnsi"/>
          <w:b w:val="0"/>
          <w:lang w:eastAsia="en-US"/>
        </w:rPr>
        <w:t>1004 ед.(план 1000 ед.)</w:t>
      </w:r>
      <w:r w:rsidRPr="00CA42AF">
        <w:rPr>
          <w:rFonts w:eastAsiaTheme="minorHAnsi"/>
          <w:b w:val="0"/>
          <w:lang w:eastAsia="en-US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5. 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</w:r>
      <w:r w:rsidR="00F74E99">
        <w:rPr>
          <w:rFonts w:eastAsia="Times New Roman"/>
          <w:b w:val="0"/>
        </w:rPr>
        <w:t xml:space="preserve"> – 1 человек (план 1 чел.).</w:t>
      </w:r>
    </w:p>
    <w:p w:rsidR="00F74E99" w:rsidRPr="00F74E99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F74E99">
        <w:rPr>
          <w:b w:val="0"/>
        </w:rPr>
        <w:t>По итогам реализации мероприятий Программы произведена комплексная оценка ее эффективности на основе оценок по трем критериям:</w:t>
      </w:r>
    </w:p>
    <w:p w:rsidR="00F74E99" w:rsidRPr="00F74E99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F74E99">
        <w:rPr>
          <w:b w:val="0"/>
        </w:rPr>
        <w:t>степени достижения целей и решения задач Программы;</w:t>
      </w:r>
    </w:p>
    <w:p w:rsidR="00F74E99" w:rsidRPr="00F74E99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F74E99">
        <w:rPr>
          <w:b w:val="0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:rsidR="00F74E99" w:rsidRPr="00F74E99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F74E99">
        <w:rPr>
          <w:b w:val="0"/>
        </w:rPr>
        <w:t>степени реализации мероприятий Программы.</w:t>
      </w:r>
    </w:p>
    <w:p w:rsidR="00F74E99" w:rsidRPr="00F74E99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F74E99">
        <w:rPr>
          <w:b w:val="0"/>
        </w:rPr>
        <w:lastRenderedPageBreak/>
        <w:t xml:space="preserve">Комплексная оценка составляет </w:t>
      </w:r>
      <w:r w:rsidR="000A6809">
        <w:rPr>
          <w:b w:val="0"/>
        </w:rPr>
        <w:t>94,8</w:t>
      </w:r>
      <w:r w:rsidRPr="00F74E99">
        <w:rPr>
          <w:b w:val="0"/>
        </w:rPr>
        <w:t xml:space="preserve"> %, что указывает на  высокий уровень эффективности реализации Программы.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left"/>
        <w:rPr>
          <w:rFonts w:eastAsiaTheme="minorEastAsia"/>
          <w:b w:val="0"/>
          <w:sz w:val="22"/>
          <w:szCs w:val="22"/>
        </w:rPr>
      </w:pPr>
    </w:p>
    <w:p w:rsidR="003666A7" w:rsidRPr="00CA42AF" w:rsidRDefault="003666A7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Расчет комплексной оценки эффективности реализации муниципальной программы «Совершенствование системы учета и управления 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объектами недвижимости муниципального образования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город Рубцовска Алтайского края» на 2019-2023 годы </w:t>
      </w:r>
    </w:p>
    <w:p w:rsidR="00CA42AF" w:rsidRPr="00CA42AF" w:rsidRDefault="00F74E99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>
        <w:rPr>
          <w:rFonts w:eastAsiaTheme="minorEastAsia"/>
          <w:b w:val="0"/>
        </w:rPr>
        <w:t>за 2022</w:t>
      </w:r>
      <w:r w:rsidR="00CA42AF" w:rsidRPr="00CA42AF">
        <w:rPr>
          <w:rFonts w:eastAsiaTheme="minorEastAsia"/>
          <w:b w:val="0"/>
        </w:rPr>
        <w:t xml:space="preserve"> год: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</w:p>
    <w:p w:rsidR="00CA42AF" w:rsidRPr="00A82303" w:rsidRDefault="00CA42AF" w:rsidP="00A82303">
      <w:pPr>
        <w:pStyle w:val="a3"/>
        <w:numPr>
          <w:ilvl w:val="1"/>
          <w:numId w:val="2"/>
        </w:num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 w:val="0"/>
        </w:rPr>
      </w:pPr>
      <w:r w:rsidRPr="00A82303">
        <w:rPr>
          <w:rFonts w:eastAsiaTheme="minorEastAsia"/>
          <w:b w:val="0"/>
        </w:rPr>
        <w:t xml:space="preserve">Оценка степени достижения целей и решения задач </w:t>
      </w:r>
      <w:r w:rsidR="00F103C9" w:rsidRPr="00A82303">
        <w:rPr>
          <w:rFonts w:eastAsiaTheme="minorEastAsia"/>
          <w:b w:val="0"/>
        </w:rPr>
        <w:t>П</w:t>
      </w:r>
      <w:r w:rsidRPr="00A82303">
        <w:rPr>
          <w:rFonts w:eastAsiaTheme="minorEastAsia"/>
          <w:b w:val="0"/>
        </w:rPr>
        <w:t xml:space="preserve">рограммы производится путем сопоставления фактически достигнутых значений индикаторов </w:t>
      </w:r>
      <w:r w:rsidR="00F103C9" w:rsidRPr="00A82303">
        <w:rPr>
          <w:rFonts w:eastAsiaTheme="minorEastAsia"/>
          <w:b w:val="0"/>
        </w:rPr>
        <w:t>П</w:t>
      </w:r>
      <w:r w:rsidRPr="00A82303">
        <w:rPr>
          <w:rFonts w:eastAsiaTheme="minorEastAsia"/>
          <w:b w:val="0"/>
        </w:rPr>
        <w:t>рограммы и их плановых значений по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>m</w:t>
      </w:r>
    </w:p>
    <w:p w:rsidR="00F74E99" w:rsidRPr="00F73DEC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  <w:lang w:val="en-US"/>
        </w:rPr>
        <w:t>= (1/m)*</w:t>
      </w: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  <w:lang w:val="en-US"/>
        </w:rPr>
        <w:t>(S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  <w:lang w:val="en-US"/>
        </w:rPr>
        <w:t>),</w:t>
      </w:r>
    </w:p>
    <w:p w:rsidR="00CA42AF" w:rsidRPr="00F73DEC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proofErr w:type="spellStart"/>
      <w:r w:rsidRPr="00CA42AF">
        <w:rPr>
          <w:rFonts w:eastAsiaTheme="minorEastAsia"/>
          <w:b w:val="0"/>
          <w:lang w:val="en-US"/>
        </w:rPr>
        <w:t>i</w:t>
      </w:r>
      <w:proofErr w:type="spellEnd"/>
      <w:r w:rsidRPr="00F73DEC">
        <w:rPr>
          <w:rFonts w:eastAsiaTheme="minorEastAsia"/>
          <w:b w:val="0"/>
          <w:lang w:val="en-US"/>
        </w:rPr>
        <w:t>=1</w:t>
      </w:r>
    </w:p>
    <w:p w:rsidR="00CA42AF" w:rsidRPr="00F73DEC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>где</w:t>
      </w:r>
      <w:r w:rsidRPr="00F73DEC">
        <w:rPr>
          <w:rFonts w:eastAsiaTheme="minorEastAsia"/>
          <w:b w:val="0"/>
          <w:lang w:val="en-US"/>
        </w:rPr>
        <w:t>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 xml:space="preserve">–оценка степени достижения цели, решения задачи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–оценка значения i-го индикатора (показателя) выполнения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рограммы, отражающего степень достижения цели, решения соответствующей задачи;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m</w:t>
      </w:r>
      <w:r w:rsidRPr="00CA42AF">
        <w:rPr>
          <w:rFonts w:eastAsiaTheme="minorEastAsia"/>
          <w:b w:val="0"/>
        </w:rPr>
        <w:t xml:space="preserve">– число показателей, характеризующих степень достижения цели, решения задачи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</w:rPr>
        <w:t>–сумма значений.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>= (1/5)*(100</w:t>
      </w:r>
      <w:proofErr w:type="gramStart"/>
      <w:r w:rsidRPr="00CA42AF">
        <w:rPr>
          <w:rFonts w:eastAsiaTheme="minorEastAsia"/>
          <w:b w:val="0"/>
        </w:rPr>
        <w:t>,0</w:t>
      </w:r>
      <w:proofErr w:type="gramEnd"/>
      <w:r w:rsidRPr="00CA42AF">
        <w:rPr>
          <w:rFonts w:eastAsiaTheme="minorEastAsia"/>
          <w:b w:val="0"/>
        </w:rPr>
        <w:t xml:space="preserve"> % +100,0 %+100,0 %+100,0 %+100,0 %) =100,0 % 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Оценка значения i-го индикатора (показателя) муниципальной программы производится по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 = (</w:t>
      </w:r>
      <w:r w:rsidRPr="00CA42AF">
        <w:rPr>
          <w:rFonts w:eastAsiaTheme="minorEastAsia"/>
          <w:b w:val="0"/>
          <w:lang w:val="en-US"/>
        </w:rPr>
        <w:t>F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>/</w:t>
      </w:r>
      <w:r w:rsidRPr="00CA42AF">
        <w:rPr>
          <w:rFonts w:eastAsiaTheme="minorEastAsia"/>
          <w:b w:val="0"/>
          <w:lang w:val="en-US"/>
        </w:rPr>
        <w:t>P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>)*100%,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где: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F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–фактическое значение i-го индикатора (показателя)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A8230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P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–плановое значение i-го индикатора (показателя)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(для индикаторов (показателей), желаемой тенденцией развития которых является рост значений)</w:t>
      </w:r>
      <w:r w:rsidR="00A82303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В случае превышения 100 % выполнения расчетного значения показателя значение показателя принимается равным 100 %.</w:t>
      </w:r>
    </w:p>
    <w:p w:rsidR="00CA42AF" w:rsidRPr="000F6B60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m</w:t>
      </w:r>
      <w:r w:rsidRPr="000F6B60">
        <w:rPr>
          <w:rFonts w:eastAsiaTheme="minorEastAsia"/>
          <w:b w:val="0"/>
        </w:rPr>
        <w:t>=5 (</w:t>
      </w:r>
      <w:r w:rsidRPr="00CA42AF">
        <w:rPr>
          <w:rFonts w:eastAsiaTheme="minorEastAsia"/>
          <w:b w:val="0"/>
        </w:rPr>
        <w:t>индикаторов</w:t>
      </w:r>
      <w:r w:rsidRPr="000F6B60">
        <w:rPr>
          <w:rFonts w:eastAsiaTheme="minorEastAsia"/>
          <w:b w:val="0"/>
        </w:rPr>
        <w:t>)</w:t>
      </w:r>
    </w:p>
    <w:p w:rsidR="00CA42AF" w:rsidRPr="000F6B60" w:rsidRDefault="00CA42AF" w:rsidP="00CA42AF">
      <w:pPr>
        <w:shd w:val="clear" w:color="auto" w:fill="auto"/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S</w:t>
      </w:r>
      <w:r w:rsidRPr="000F6B60">
        <w:rPr>
          <w:rFonts w:eastAsiaTheme="minorEastAsia"/>
          <w:b w:val="0"/>
          <w:vertAlign w:val="subscript"/>
        </w:rPr>
        <w:t>1</w:t>
      </w:r>
      <w:r w:rsidRPr="000F6B60">
        <w:rPr>
          <w:rFonts w:eastAsiaTheme="minorEastAsia"/>
          <w:b w:val="0"/>
        </w:rPr>
        <w:t>= (</w:t>
      </w:r>
      <w:r w:rsidR="00A82303" w:rsidRPr="000F6B60">
        <w:rPr>
          <w:rFonts w:eastAsiaTheme="minorEastAsia"/>
          <w:b w:val="0"/>
        </w:rPr>
        <w:t>14/14)*100 %=100</w:t>
      </w:r>
      <w:proofErr w:type="gramStart"/>
      <w:r w:rsidR="00A82303" w:rsidRPr="000F6B60">
        <w:rPr>
          <w:rFonts w:eastAsiaTheme="minorEastAsia"/>
          <w:b w:val="0"/>
        </w:rPr>
        <w:t>,0</w:t>
      </w:r>
      <w:proofErr w:type="gramEnd"/>
      <w:r w:rsidR="00A82303" w:rsidRPr="000F6B60">
        <w:rPr>
          <w:rFonts w:eastAsiaTheme="minorEastAsia"/>
          <w:b w:val="0"/>
        </w:rPr>
        <w:t xml:space="preserve"> %</w:t>
      </w:r>
    </w:p>
    <w:p w:rsidR="00CA42AF" w:rsidRPr="000F6B60" w:rsidRDefault="00CA42AF" w:rsidP="00CA42AF">
      <w:pPr>
        <w:shd w:val="clear" w:color="auto" w:fill="auto"/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S</w:t>
      </w:r>
      <w:r w:rsidRPr="000F6B60">
        <w:rPr>
          <w:rFonts w:eastAsiaTheme="minorEastAsia"/>
          <w:b w:val="0"/>
          <w:vertAlign w:val="subscript"/>
        </w:rPr>
        <w:t>2</w:t>
      </w:r>
      <w:r w:rsidRPr="000F6B60">
        <w:rPr>
          <w:rFonts w:eastAsiaTheme="minorEastAsia"/>
          <w:b w:val="0"/>
        </w:rPr>
        <w:t>= (</w:t>
      </w:r>
      <w:r w:rsidR="00A82303" w:rsidRPr="000F6B60">
        <w:rPr>
          <w:rFonts w:eastAsiaTheme="minorEastAsia"/>
          <w:b w:val="0"/>
        </w:rPr>
        <w:t>73/10</w:t>
      </w:r>
      <w:r w:rsidRPr="000F6B60">
        <w:rPr>
          <w:rFonts w:eastAsiaTheme="minorEastAsia"/>
          <w:b w:val="0"/>
        </w:rPr>
        <w:t>)*100 %=</w:t>
      </w:r>
      <w:r w:rsidR="00A82303" w:rsidRPr="000F6B60">
        <w:rPr>
          <w:rFonts w:eastAsiaTheme="minorEastAsia"/>
          <w:b w:val="0"/>
        </w:rPr>
        <w:t>730</w:t>
      </w:r>
      <w:proofErr w:type="gramStart"/>
      <w:r w:rsidR="00A82303" w:rsidRPr="000F6B60">
        <w:rPr>
          <w:rFonts w:eastAsiaTheme="minorEastAsia"/>
          <w:b w:val="0"/>
        </w:rPr>
        <w:t>,0</w:t>
      </w:r>
      <w:proofErr w:type="gramEnd"/>
      <w:r w:rsidRPr="000F6B60">
        <w:rPr>
          <w:rFonts w:eastAsiaTheme="minorEastAsia"/>
          <w:b w:val="0"/>
        </w:rPr>
        <w:t xml:space="preserve"> % ~100,0 %</w:t>
      </w:r>
      <w:r w:rsidRPr="000F6B60">
        <w:rPr>
          <w:rFonts w:eastAsiaTheme="minorEastAsia"/>
          <w:b w:val="0"/>
        </w:rPr>
        <w:tab/>
      </w:r>
    </w:p>
    <w:p w:rsidR="00CA42AF" w:rsidRPr="000F6B60" w:rsidRDefault="00CA42AF" w:rsidP="006C01E8">
      <w:pPr>
        <w:tabs>
          <w:tab w:val="left" w:pos="2715"/>
        </w:tabs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val="en-US" w:eastAsia="en-US"/>
        </w:rPr>
        <w:t>S</w:t>
      </w:r>
      <w:r w:rsidRPr="000F6B60">
        <w:rPr>
          <w:rFonts w:eastAsiaTheme="minorHAnsi"/>
          <w:b w:val="0"/>
          <w:vertAlign w:val="subscript"/>
          <w:lang w:eastAsia="en-US"/>
        </w:rPr>
        <w:t>3</w:t>
      </w:r>
      <w:r w:rsidRPr="000F6B60">
        <w:rPr>
          <w:rFonts w:eastAsiaTheme="minorHAnsi"/>
          <w:b w:val="0"/>
          <w:lang w:eastAsia="en-US"/>
        </w:rPr>
        <w:t>= (</w:t>
      </w:r>
      <w:r w:rsidR="00A82303" w:rsidRPr="000F6B60">
        <w:rPr>
          <w:rFonts w:eastAsiaTheme="minorHAnsi"/>
          <w:b w:val="0"/>
          <w:lang w:eastAsia="en-US"/>
        </w:rPr>
        <w:t>315/200)*100 %=157</w:t>
      </w:r>
      <w:proofErr w:type="gramStart"/>
      <w:r w:rsidR="00A82303" w:rsidRPr="000F6B60">
        <w:rPr>
          <w:rFonts w:eastAsiaTheme="minorHAnsi"/>
          <w:b w:val="0"/>
          <w:lang w:eastAsia="en-US"/>
        </w:rPr>
        <w:t>,5</w:t>
      </w:r>
      <w:proofErr w:type="gramEnd"/>
      <w:r w:rsidRPr="000F6B60">
        <w:rPr>
          <w:rFonts w:eastAsiaTheme="minorHAnsi"/>
          <w:b w:val="0"/>
          <w:lang w:eastAsia="en-US"/>
        </w:rPr>
        <w:t xml:space="preserve"> % ~100,0 %        </w:t>
      </w:r>
    </w:p>
    <w:p w:rsidR="00CA42AF" w:rsidRPr="00CA42AF" w:rsidRDefault="00CA42AF" w:rsidP="006C01E8">
      <w:pPr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val="en-US" w:eastAsia="en-US"/>
        </w:rPr>
        <w:t>S</w:t>
      </w:r>
      <w:r w:rsidRPr="00CA42AF">
        <w:rPr>
          <w:rFonts w:eastAsiaTheme="minorHAnsi"/>
          <w:b w:val="0"/>
          <w:vertAlign w:val="subscript"/>
          <w:lang w:eastAsia="en-US"/>
        </w:rPr>
        <w:t xml:space="preserve">4 </w:t>
      </w:r>
      <w:r w:rsidR="00A82303">
        <w:rPr>
          <w:rFonts w:eastAsiaTheme="minorHAnsi"/>
          <w:b w:val="0"/>
          <w:lang w:eastAsia="en-US"/>
        </w:rPr>
        <w:t>= (1004/1000)*100 %=100</w:t>
      </w:r>
      <w:proofErr w:type="gramStart"/>
      <w:r w:rsidR="00A82303">
        <w:rPr>
          <w:rFonts w:eastAsiaTheme="minorHAnsi"/>
          <w:b w:val="0"/>
          <w:lang w:eastAsia="en-US"/>
        </w:rPr>
        <w:t>,4</w:t>
      </w:r>
      <w:proofErr w:type="gramEnd"/>
      <w:r w:rsidRPr="00CA42AF">
        <w:rPr>
          <w:rFonts w:eastAsiaTheme="minorHAnsi"/>
          <w:b w:val="0"/>
          <w:lang w:eastAsia="en-US"/>
        </w:rPr>
        <w:t xml:space="preserve"> % ~100 %                    </w:t>
      </w:r>
    </w:p>
    <w:p w:rsidR="00CA42AF" w:rsidRPr="00CA42AF" w:rsidRDefault="00CA42AF" w:rsidP="006C01E8">
      <w:pPr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val="en-US" w:eastAsia="en-US"/>
        </w:rPr>
        <w:t>S</w:t>
      </w:r>
      <w:r w:rsidRPr="00CA42AF">
        <w:rPr>
          <w:rFonts w:eastAsiaTheme="minorHAnsi"/>
          <w:b w:val="0"/>
          <w:vertAlign w:val="subscript"/>
          <w:lang w:eastAsia="en-US"/>
        </w:rPr>
        <w:t xml:space="preserve">5 </w:t>
      </w:r>
      <w:r w:rsidRPr="00CA42AF">
        <w:rPr>
          <w:rFonts w:eastAsiaTheme="minorHAnsi"/>
          <w:b w:val="0"/>
          <w:lang w:eastAsia="en-US"/>
        </w:rPr>
        <w:t>= (1/1)*100 % =100</w:t>
      </w:r>
      <w:proofErr w:type="gramStart"/>
      <w:r w:rsidRPr="00CA42AF">
        <w:rPr>
          <w:rFonts w:eastAsiaTheme="minorHAnsi"/>
          <w:b w:val="0"/>
          <w:lang w:eastAsia="en-US"/>
        </w:rPr>
        <w:t>,0</w:t>
      </w:r>
      <w:proofErr w:type="gramEnd"/>
      <w:r w:rsidRPr="00CA42AF">
        <w:rPr>
          <w:rFonts w:eastAsiaTheme="minorHAnsi"/>
          <w:b w:val="0"/>
          <w:lang w:eastAsia="en-US"/>
        </w:rPr>
        <w:t xml:space="preserve"> %                   </w:t>
      </w:r>
    </w:p>
    <w:p w:rsidR="00CA42AF" w:rsidRPr="00CA42AF" w:rsidRDefault="00CA42AF" w:rsidP="00CA42AF">
      <w:pPr>
        <w:spacing w:after="0" w:line="240" w:lineRule="auto"/>
        <w:rPr>
          <w:rFonts w:eastAsiaTheme="minorEastAsia"/>
          <w:b w:val="0"/>
          <w:u w:val="single"/>
        </w:rPr>
      </w:pPr>
    </w:p>
    <w:p w:rsidR="00CA42AF" w:rsidRPr="00CA42AF" w:rsidRDefault="00A82303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>
        <w:rPr>
          <w:rFonts w:eastAsiaTheme="minorEastAsia"/>
          <w:b w:val="0"/>
        </w:rPr>
        <w:lastRenderedPageBreak/>
        <w:t>1.2</w:t>
      </w:r>
      <w:r w:rsidR="00CA42AF" w:rsidRPr="00CA42AF">
        <w:rPr>
          <w:rFonts w:eastAsiaTheme="minorEastAsia"/>
          <w:b w:val="0"/>
        </w:rPr>
        <w:t>. Оценка степени соответствия запланированному уровню затра</w:t>
      </w:r>
      <w:r>
        <w:rPr>
          <w:rFonts w:eastAsiaTheme="minorEastAsia"/>
          <w:b w:val="0"/>
        </w:rPr>
        <w:t xml:space="preserve">т и эффективности использования в </w:t>
      </w:r>
      <w:r w:rsidR="00F103C9">
        <w:rPr>
          <w:rFonts w:eastAsiaTheme="minorEastAsia"/>
          <w:b w:val="0"/>
        </w:rPr>
        <w:t>П</w:t>
      </w:r>
      <w:r>
        <w:rPr>
          <w:rFonts w:eastAsiaTheme="minorEastAsia"/>
          <w:b w:val="0"/>
        </w:rPr>
        <w:t>рограмме средств бюджета города</w:t>
      </w:r>
      <w:r w:rsidR="00CA42AF" w:rsidRPr="00CA42AF">
        <w:rPr>
          <w:rFonts w:eastAsiaTheme="minorEastAsia"/>
          <w:b w:val="0"/>
        </w:rPr>
        <w:t xml:space="preserve"> определяется путем сопоставления фактических и плановых объемов финансирования </w:t>
      </w:r>
      <w:r w:rsidR="00F103C9">
        <w:rPr>
          <w:rFonts w:eastAsiaTheme="minorEastAsia"/>
          <w:b w:val="0"/>
        </w:rPr>
        <w:t>П</w:t>
      </w:r>
      <w:r w:rsidR="00CA42AF" w:rsidRPr="00CA42AF">
        <w:rPr>
          <w:rFonts w:eastAsiaTheme="minorEastAsia"/>
          <w:b w:val="0"/>
        </w:rPr>
        <w:t>рограммы</w:t>
      </w:r>
      <w:r>
        <w:rPr>
          <w:rFonts w:eastAsiaTheme="minorEastAsia"/>
          <w:b w:val="0"/>
        </w:rPr>
        <w:t xml:space="preserve"> за отчетный период</w:t>
      </w:r>
      <w:r w:rsidR="00CA42AF" w:rsidRPr="00CA42AF">
        <w:rPr>
          <w:rFonts w:eastAsiaTheme="minorEastAsia"/>
          <w:b w:val="0"/>
        </w:rPr>
        <w:t xml:space="preserve"> по формуле: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 xml:space="preserve"> =</w:t>
      </w: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</w:rPr>
        <w:t>/</w:t>
      </w:r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>*100%,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где: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 xml:space="preserve">–уровень финансирования реализации мероприятий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</w:rPr>
        <w:t xml:space="preserve">–фактический объем финансовых ресурсов, направленный на реализацию мероприятий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 xml:space="preserve">–плановый объем финансовых ресурсов, предусмотренных на реализацию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на соответствующий отчетный период.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</w:rPr>
        <w:t>=</w:t>
      </w:r>
      <w:r w:rsidR="00A82303">
        <w:rPr>
          <w:rFonts w:eastAsiaTheme="minorEastAsia"/>
          <w:b w:val="0"/>
        </w:rPr>
        <w:t xml:space="preserve"> 914,4 тысяч </w:t>
      </w:r>
      <w:r w:rsidRPr="00CA42AF">
        <w:rPr>
          <w:rFonts w:eastAsiaTheme="minorEastAsia"/>
          <w:b w:val="0"/>
        </w:rPr>
        <w:t>руб</w:t>
      </w:r>
      <w:r w:rsidR="00A82303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>=</w:t>
      </w:r>
      <w:r w:rsidR="00A82303">
        <w:rPr>
          <w:rFonts w:eastAsiaTheme="minorEastAsia"/>
          <w:b w:val="0"/>
        </w:rPr>
        <w:t xml:space="preserve"> 1082,0 тысяч </w:t>
      </w:r>
      <w:r w:rsidRPr="00CA42AF">
        <w:rPr>
          <w:rFonts w:eastAsiaTheme="minorEastAsia"/>
          <w:b w:val="0"/>
        </w:rPr>
        <w:t>руб</w:t>
      </w:r>
      <w:r w:rsidR="00A82303">
        <w:rPr>
          <w:rFonts w:eastAsiaTheme="minorEastAsia"/>
          <w:b w:val="0"/>
        </w:rPr>
        <w:t>лей</w:t>
      </w:r>
      <w:r w:rsidRPr="00CA42AF">
        <w:rPr>
          <w:rFonts w:eastAsiaTheme="minorEastAsia"/>
          <w:b w:val="0"/>
        </w:rPr>
        <w:t>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>=</w:t>
      </w:r>
      <w:r w:rsidR="00A82303">
        <w:rPr>
          <w:rFonts w:eastAsiaTheme="minorEastAsia"/>
          <w:b w:val="0"/>
        </w:rPr>
        <w:t xml:space="preserve"> 914,4/1082,0*100%=84,5%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A82303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>
        <w:rPr>
          <w:rFonts w:eastAsiaTheme="minorEastAsia"/>
          <w:b w:val="0"/>
        </w:rPr>
        <w:t>1.3</w:t>
      </w:r>
      <w:r w:rsidR="00CA42AF" w:rsidRPr="00CA42AF">
        <w:rPr>
          <w:rFonts w:eastAsiaTheme="minorEastAsia"/>
          <w:b w:val="0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F103C9">
        <w:rPr>
          <w:rFonts w:eastAsiaTheme="minorEastAsia"/>
          <w:b w:val="0"/>
        </w:rPr>
        <w:t>П</w:t>
      </w:r>
      <w:r w:rsidR="00CA42AF" w:rsidRPr="00CA42AF">
        <w:rPr>
          <w:rFonts w:eastAsiaTheme="minorEastAsia"/>
          <w:b w:val="0"/>
        </w:rPr>
        <w:t xml:space="preserve">рограммы </w:t>
      </w:r>
      <w:r w:rsidR="000A6809">
        <w:rPr>
          <w:rFonts w:eastAsiaTheme="minorEastAsia"/>
          <w:b w:val="0"/>
        </w:rPr>
        <w:t xml:space="preserve">за отчетный период </w:t>
      </w:r>
      <w:r w:rsidR="00CA42AF" w:rsidRPr="00CA42AF">
        <w:rPr>
          <w:rFonts w:eastAsiaTheme="minorEastAsia"/>
          <w:b w:val="0"/>
        </w:rPr>
        <w:t>производится по следующей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>n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>Mer= (1/n)*</w:t>
      </w: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  <w:lang w:val="en-US"/>
        </w:rPr>
        <w:t>(</w:t>
      </w:r>
      <w:proofErr w:type="spellStart"/>
      <w:proofErr w:type="gramStart"/>
      <w:r w:rsidRPr="00CA42AF">
        <w:rPr>
          <w:rFonts w:eastAsiaTheme="minorEastAsia"/>
          <w:b w:val="0"/>
          <w:lang w:val="en-US"/>
        </w:rPr>
        <w:t>R</w:t>
      </w:r>
      <w:r w:rsidRPr="00CA42AF">
        <w:rPr>
          <w:rFonts w:eastAsiaTheme="minorEastAsia"/>
          <w:b w:val="0"/>
          <w:vertAlign w:val="subscript"/>
          <w:lang w:val="en-US"/>
        </w:rPr>
        <w:t>j</w:t>
      </w:r>
      <w:proofErr w:type="spellEnd"/>
      <w:r w:rsidRPr="00CA42AF">
        <w:rPr>
          <w:rFonts w:eastAsiaTheme="minorEastAsia"/>
          <w:b w:val="0"/>
          <w:lang w:val="en-US"/>
        </w:rPr>
        <w:t>*</w:t>
      </w:r>
      <w:proofErr w:type="gramEnd"/>
      <w:r w:rsidRPr="00CA42AF">
        <w:rPr>
          <w:rFonts w:eastAsiaTheme="minorEastAsia"/>
          <w:b w:val="0"/>
          <w:lang w:val="en-US"/>
        </w:rPr>
        <w:t>100%),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 xml:space="preserve">                    j=1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>где</w:t>
      </w:r>
      <w:r w:rsidRPr="00CA42AF">
        <w:rPr>
          <w:rFonts w:eastAsiaTheme="minorEastAsia"/>
          <w:b w:val="0"/>
          <w:lang w:val="en-US"/>
        </w:rPr>
        <w:t>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Mer</w:t>
      </w:r>
      <w:r w:rsidRPr="00CA42AF">
        <w:rPr>
          <w:rFonts w:eastAsiaTheme="minorEastAsia"/>
          <w:b w:val="0"/>
        </w:rPr>
        <w:t xml:space="preserve">– оценка степени реализации мероприятий </w:t>
      </w:r>
      <w:r w:rsidR="000A6809">
        <w:rPr>
          <w:rFonts w:eastAsiaTheme="minorEastAsia"/>
          <w:b w:val="0"/>
        </w:rPr>
        <w:t>Программы;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proofErr w:type="spellStart"/>
      <w:r w:rsidRPr="00CA42AF">
        <w:rPr>
          <w:rFonts w:eastAsiaTheme="minorEastAsia"/>
          <w:b w:val="0"/>
          <w:lang w:val="en-US"/>
        </w:rPr>
        <w:t>R</w:t>
      </w:r>
      <w:r w:rsidRPr="00CA42AF">
        <w:rPr>
          <w:rFonts w:eastAsiaTheme="minorEastAsia"/>
          <w:b w:val="0"/>
          <w:vertAlign w:val="subscript"/>
          <w:lang w:val="en-US"/>
        </w:rPr>
        <w:t>j</w:t>
      </w:r>
      <w:proofErr w:type="spellEnd"/>
      <w:r w:rsidRPr="00CA42AF">
        <w:rPr>
          <w:rFonts w:eastAsiaTheme="minorEastAsia"/>
          <w:b w:val="0"/>
        </w:rPr>
        <w:t xml:space="preserve">–показатель достижения ожидаемого непосредственного результата </w:t>
      </w:r>
      <w:r w:rsidRPr="00CA42AF">
        <w:rPr>
          <w:rFonts w:eastAsiaTheme="minorEastAsia"/>
          <w:b w:val="0"/>
          <w:lang w:val="en-US"/>
        </w:rPr>
        <w:t>j</w:t>
      </w:r>
      <w:r w:rsidRPr="00CA42AF">
        <w:rPr>
          <w:rFonts w:eastAsiaTheme="minorEastAsia"/>
          <w:b w:val="0"/>
        </w:rPr>
        <w:t xml:space="preserve">-го мероприятия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рограммы, определяемый в случае достижения непосредственного результата в отчетном периоде как «1»</w:t>
      </w:r>
      <w:r w:rsidR="000A6809">
        <w:rPr>
          <w:rFonts w:eastAsiaTheme="minorEastAsia"/>
          <w:b w:val="0"/>
        </w:rPr>
        <w:t>, в случае недостижения непосредственного результата – как «0»</w:t>
      </w:r>
      <w:r w:rsidRPr="00CA42AF">
        <w:rPr>
          <w:rFonts w:eastAsiaTheme="minorEastAsia"/>
          <w:b w:val="0"/>
        </w:rPr>
        <w:t>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n</w:t>
      </w:r>
      <w:r w:rsidRPr="00CA42AF">
        <w:rPr>
          <w:rFonts w:eastAsiaTheme="minorEastAsia"/>
          <w:b w:val="0"/>
        </w:rPr>
        <w:t xml:space="preserve">– количество мероприятий, включенных в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рограмму;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sym w:font="Symbol" w:char="F0E5"/>
      </w:r>
      <w:r w:rsidR="00F103C9">
        <w:rPr>
          <w:rFonts w:eastAsiaTheme="minorEastAsia"/>
          <w:b w:val="0"/>
        </w:rPr>
        <w:t>–сумма значений</w:t>
      </w:r>
      <w:r w:rsidR="000A6809">
        <w:rPr>
          <w:rFonts w:eastAsiaTheme="minorEastAsia"/>
          <w:b w:val="0"/>
        </w:rPr>
        <w:t>.</w:t>
      </w:r>
    </w:p>
    <w:p w:rsidR="00F103C9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n</w:t>
      </w:r>
      <w:r w:rsidR="00F103C9">
        <w:rPr>
          <w:rFonts w:eastAsiaTheme="minorEastAsia"/>
          <w:b w:val="0"/>
        </w:rPr>
        <w:t>-8 мероприятий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Mer</w:t>
      </w:r>
      <w:proofErr w:type="gramStart"/>
      <w:r w:rsidRPr="00CA42AF">
        <w:rPr>
          <w:rFonts w:eastAsiaTheme="minorEastAsia"/>
          <w:b w:val="0"/>
        </w:rPr>
        <w:t>=(</w:t>
      </w:r>
      <w:proofErr w:type="gramEnd"/>
      <w:r w:rsidRPr="00CA42AF">
        <w:rPr>
          <w:rFonts w:eastAsiaTheme="minorEastAsia"/>
          <w:b w:val="0"/>
        </w:rPr>
        <w:t>1/8)*(1+</w:t>
      </w:r>
      <w:r w:rsidR="000A6809">
        <w:rPr>
          <w:rFonts w:eastAsiaTheme="minorEastAsia"/>
          <w:b w:val="0"/>
        </w:rPr>
        <w:t>1+1+1+</w:t>
      </w:r>
      <w:r w:rsidRPr="00CA42AF">
        <w:rPr>
          <w:rFonts w:eastAsiaTheme="minorEastAsia"/>
          <w:b w:val="0"/>
        </w:rPr>
        <w:t>1+1+1+1)*100%=</w:t>
      </w:r>
      <w:r w:rsidR="000A6809">
        <w:rPr>
          <w:rFonts w:eastAsiaTheme="minorEastAsia"/>
          <w:b w:val="0"/>
        </w:rPr>
        <w:t>100,0</w:t>
      </w:r>
      <w:r w:rsidRPr="00CA42AF">
        <w:rPr>
          <w:rFonts w:eastAsiaTheme="minorEastAsia"/>
          <w:b w:val="0"/>
        </w:rPr>
        <w:t xml:space="preserve"> %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0A6809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eastAsiaTheme="minorEastAsia"/>
          <w:b w:val="0"/>
        </w:rPr>
      </w:pPr>
      <w:r>
        <w:rPr>
          <w:rFonts w:eastAsiaTheme="minorEastAsia"/>
          <w:b w:val="0"/>
        </w:rPr>
        <w:t>1</w:t>
      </w:r>
      <w:r w:rsidR="00CA42AF" w:rsidRPr="00CA42AF">
        <w:rPr>
          <w:rFonts w:eastAsiaTheme="minorEastAsia"/>
          <w:b w:val="0"/>
        </w:rPr>
        <w:t>.</w:t>
      </w:r>
      <w:r>
        <w:rPr>
          <w:rFonts w:eastAsiaTheme="minorEastAsia"/>
          <w:b w:val="0"/>
        </w:rPr>
        <w:t>4.</w:t>
      </w:r>
      <w:r w:rsidR="00CA42AF" w:rsidRPr="00CA42AF">
        <w:rPr>
          <w:rFonts w:eastAsiaTheme="minorEastAsia"/>
          <w:b w:val="0"/>
        </w:rPr>
        <w:t xml:space="preserve"> Комплексная оценка эффективности реализации </w:t>
      </w:r>
      <w:r w:rsidR="00F103C9">
        <w:rPr>
          <w:rFonts w:eastAsiaTheme="minorEastAsia"/>
          <w:b w:val="0"/>
        </w:rPr>
        <w:t>П</w:t>
      </w:r>
      <w:r w:rsidR="00CA42AF" w:rsidRPr="00CA42AF">
        <w:rPr>
          <w:rFonts w:eastAsiaTheme="minorEastAsia"/>
          <w:b w:val="0"/>
        </w:rPr>
        <w:t>рограммы производится по следующей формуле: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>= (</w:t>
      </w: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>+</w:t>
      </w: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>+</w:t>
      </w:r>
      <w:proofErr w:type="spellStart"/>
      <w:r w:rsidRPr="00CA42AF">
        <w:rPr>
          <w:rFonts w:eastAsiaTheme="minorEastAsia"/>
          <w:b w:val="0"/>
          <w:lang w:val="en-US"/>
        </w:rPr>
        <w:t>Mer</w:t>
      </w:r>
      <w:proofErr w:type="spellEnd"/>
      <w:r w:rsidRPr="00CA42AF">
        <w:rPr>
          <w:rFonts w:eastAsiaTheme="minorEastAsia"/>
          <w:b w:val="0"/>
        </w:rPr>
        <w:t>)/3,</w:t>
      </w:r>
    </w:p>
    <w:p w:rsid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где:</w:t>
      </w: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 xml:space="preserve">–комплексная </w:t>
      </w:r>
      <w:r w:rsidR="00F103C9">
        <w:rPr>
          <w:rFonts w:eastAsiaTheme="minorEastAsia"/>
          <w:b w:val="0"/>
        </w:rPr>
        <w:t>оценка</w:t>
      </w:r>
    </w:p>
    <w:p w:rsidR="00F103C9" w:rsidRPr="00CA42AF" w:rsidRDefault="00F103C9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>= (100,0 %+</w:t>
      </w:r>
      <w:r w:rsidR="000A6809">
        <w:rPr>
          <w:rFonts w:eastAsiaTheme="minorEastAsia"/>
          <w:b w:val="0"/>
        </w:rPr>
        <w:t>84,5%+100,0 %)/3= 94,8</w:t>
      </w:r>
      <w:r w:rsidRPr="00CA42AF">
        <w:rPr>
          <w:rFonts w:eastAsiaTheme="minorEastAsia"/>
          <w:b w:val="0"/>
        </w:rPr>
        <w:t xml:space="preserve"> %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 Реализация данной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 xml:space="preserve">рограммы характеризуется </w:t>
      </w:r>
      <w:r w:rsidR="000A6809">
        <w:rPr>
          <w:rFonts w:eastAsiaTheme="minorEastAsia"/>
          <w:b w:val="0"/>
        </w:rPr>
        <w:t>высоким</w:t>
      </w:r>
      <w:r w:rsidRPr="00CA42AF">
        <w:rPr>
          <w:rFonts w:eastAsiaTheme="minorEastAsia"/>
          <w:b w:val="0"/>
        </w:rPr>
        <w:t xml:space="preserve"> уровнем эффективности.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</w:rPr>
      </w:pPr>
    </w:p>
    <w:p w:rsidR="000F6B60" w:rsidRDefault="000F6B60" w:rsidP="000F6B60">
      <w:pPr>
        <w:spacing w:after="0" w:line="240" w:lineRule="auto"/>
        <w:ind w:firstLine="0"/>
        <w:rPr>
          <w:b w:val="0"/>
          <w:sz w:val="24"/>
          <w:szCs w:val="24"/>
        </w:rPr>
      </w:pPr>
      <w:proofErr w:type="spellStart"/>
      <w:r w:rsidRPr="000F6B60">
        <w:rPr>
          <w:b w:val="0"/>
          <w:sz w:val="24"/>
          <w:szCs w:val="24"/>
        </w:rPr>
        <w:t>Щиголева</w:t>
      </w:r>
      <w:proofErr w:type="spellEnd"/>
      <w:r w:rsidRPr="000F6B60">
        <w:rPr>
          <w:b w:val="0"/>
          <w:sz w:val="24"/>
          <w:szCs w:val="24"/>
        </w:rPr>
        <w:t xml:space="preserve"> Ольга Викторовна</w:t>
      </w:r>
    </w:p>
    <w:p w:rsidR="000F6B60" w:rsidRPr="000F6B60" w:rsidRDefault="000F6B60" w:rsidP="000F6B60">
      <w:pPr>
        <w:spacing w:after="0"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8(38557)9-64-29(422)</w:t>
      </w:r>
    </w:p>
    <w:sectPr w:rsidR="000F6B60" w:rsidRPr="000F6B6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8B"/>
    <w:multiLevelType w:val="multilevel"/>
    <w:tmpl w:val="934C4F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>
    <w:nsid w:val="73044137"/>
    <w:multiLevelType w:val="multilevel"/>
    <w:tmpl w:val="236EB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AF"/>
    <w:rsid w:val="000033B2"/>
    <w:rsid w:val="00031161"/>
    <w:rsid w:val="00046D73"/>
    <w:rsid w:val="00084B92"/>
    <w:rsid w:val="00091B52"/>
    <w:rsid w:val="000A6809"/>
    <w:rsid w:val="000B0BEA"/>
    <w:rsid w:val="000C694F"/>
    <w:rsid w:val="000F6B60"/>
    <w:rsid w:val="00192FB3"/>
    <w:rsid w:val="001C1868"/>
    <w:rsid w:val="00203777"/>
    <w:rsid w:val="002472E2"/>
    <w:rsid w:val="002B529D"/>
    <w:rsid w:val="002C1F86"/>
    <w:rsid w:val="002E635F"/>
    <w:rsid w:val="0030383E"/>
    <w:rsid w:val="0032731D"/>
    <w:rsid w:val="00357FAB"/>
    <w:rsid w:val="003626B7"/>
    <w:rsid w:val="003666A7"/>
    <w:rsid w:val="00405972"/>
    <w:rsid w:val="0041184C"/>
    <w:rsid w:val="00473B52"/>
    <w:rsid w:val="004B0646"/>
    <w:rsid w:val="004D6314"/>
    <w:rsid w:val="004F1B1D"/>
    <w:rsid w:val="00527F3D"/>
    <w:rsid w:val="00590E9A"/>
    <w:rsid w:val="0059688E"/>
    <w:rsid w:val="005C7ACC"/>
    <w:rsid w:val="0060678B"/>
    <w:rsid w:val="00613A77"/>
    <w:rsid w:val="006634FB"/>
    <w:rsid w:val="00670CA1"/>
    <w:rsid w:val="006C01E8"/>
    <w:rsid w:val="006C6F8C"/>
    <w:rsid w:val="007742E0"/>
    <w:rsid w:val="007F710B"/>
    <w:rsid w:val="008E1A51"/>
    <w:rsid w:val="009E2B79"/>
    <w:rsid w:val="009E3E3E"/>
    <w:rsid w:val="009F1121"/>
    <w:rsid w:val="00A51305"/>
    <w:rsid w:val="00A55891"/>
    <w:rsid w:val="00A667D7"/>
    <w:rsid w:val="00A82303"/>
    <w:rsid w:val="00A9187C"/>
    <w:rsid w:val="00AA7C1F"/>
    <w:rsid w:val="00B20678"/>
    <w:rsid w:val="00B9037E"/>
    <w:rsid w:val="00BA20E2"/>
    <w:rsid w:val="00BB1A60"/>
    <w:rsid w:val="00BF5004"/>
    <w:rsid w:val="00C57AD8"/>
    <w:rsid w:val="00C66C96"/>
    <w:rsid w:val="00C80601"/>
    <w:rsid w:val="00CA42AF"/>
    <w:rsid w:val="00CB1BF1"/>
    <w:rsid w:val="00CE27A7"/>
    <w:rsid w:val="00E33169"/>
    <w:rsid w:val="00E577B3"/>
    <w:rsid w:val="00EB3F54"/>
    <w:rsid w:val="00F103C9"/>
    <w:rsid w:val="00F63D94"/>
    <w:rsid w:val="00F73DEC"/>
    <w:rsid w:val="00F74E99"/>
    <w:rsid w:val="00F86545"/>
    <w:rsid w:val="00FD3DE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6"/>
    <w:pPr>
      <w:shd w:val="clear" w:color="auto" w:fill="FFFFFF"/>
      <w:spacing w:after="200"/>
      <w:ind w:firstLine="708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4B0646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08"/>
    </w:p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6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6A7"/>
    <w:rPr>
      <w:rFonts w:ascii="Tahoma" w:hAnsi="Tahoma" w:cs="Tahoma"/>
      <w:b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sigoleva</cp:lastModifiedBy>
  <cp:revision>7</cp:revision>
  <cp:lastPrinted>2023-02-16T02:56:00Z</cp:lastPrinted>
  <dcterms:created xsi:type="dcterms:W3CDTF">2023-02-15T09:26:00Z</dcterms:created>
  <dcterms:modified xsi:type="dcterms:W3CDTF">2023-02-16T03:08:00Z</dcterms:modified>
</cp:coreProperties>
</file>