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27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Перечень услуг, предоставление которых участникам специальной военной операции (ветеранам боевых действий) и членам их семей в МФЦ осуществляется посредством комплексного запроса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</w:r>
    </w:p>
    <w:p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Категория 1. </w:t>
      </w:r>
      <w:r>
        <w:rPr>
          <w:rFonts w:ascii="Times New Roman" w:hAnsi="Times New Roman" w:cs="Times New Roman"/>
          <w:sz w:val="18"/>
          <w:szCs w:val="18"/>
        </w:rPr>
        <w:t xml:space="preserve">Участник</w:t>
      </w:r>
      <w:r>
        <w:rPr>
          <w:rFonts w:ascii="Times New Roman" w:hAnsi="Times New Roman" w:cs="Times New Roman"/>
          <w:sz w:val="18"/>
          <w:szCs w:val="18"/>
        </w:rPr>
        <w:t xml:space="preserve">и</w:t>
      </w:r>
      <w:r>
        <w:rPr>
          <w:rFonts w:ascii="Times New Roman" w:hAnsi="Times New Roman" w:cs="Times New Roman"/>
          <w:sz w:val="18"/>
          <w:szCs w:val="18"/>
        </w:rPr>
        <w:t xml:space="preserve"> СВО</w:t>
      </w:r>
      <w:r>
        <w:rPr>
          <w:rFonts w:ascii="Times New Roman" w:hAnsi="Times New Roman" w:cs="Times New Roman"/>
          <w:sz w:val="18"/>
          <w:szCs w:val="18"/>
        </w:rPr>
        <w:t xml:space="preserve"> и члены их семьи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tbl>
      <w:tblPr>
        <w:tblStyle w:val="684"/>
        <w:tblW w:w="11057" w:type="dxa"/>
        <w:tblInd w:w="-431" w:type="dxa"/>
        <w:tblLook w:val="04A0" w:firstRow="1" w:lastRow="0" w:firstColumn="1" w:lastColumn="0" w:noHBand="0" w:noVBand="1"/>
      </w:tblPr>
      <w:tblGrid>
        <w:gridCol w:w="412"/>
        <w:gridCol w:w="10645"/>
      </w:tblGrid>
      <w:tr>
        <w:tblPrEx/>
        <w:trPr/>
        <w:tc>
          <w:tcPr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0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подтверждении факта участия в специальной военной опер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(члену семьи участника) специальной военной операции по линии Министерства обороны 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Прием заявлений, постановка на учет и зачисление детей в муниципальные образовательные организации города Барнаула, реализующие образовательные программы дошкольного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Прием заявления физического лица о предоставлении налоговой льготы по транспортному, земельному, налогу на имущество физических лиц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Бесплатная юридическая помощь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услуг по санаторно-курортному лечению, медицинской реабилитации лиц, указанных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 10 статьи 7 Федерального закона «О бюджете Фонда пенсионного и социального страхования Российской Федерации на 2025 год и на плановый период 2026 и 2027 годов», в центрах реабилитации Фонда пенсионного и социального страхования 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дополнительного ежемесячного материального обеспечения некоторым категориям граждан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pStyle w:val="686"/>
              <w:contextualSpacing/>
              <w:jc w:val="both"/>
              <w:spacing w:before="0"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bidi="en-US"/>
              </w:rPr>
              <w:t xml:space="preserve">Предоставление единовременного пособия беременной жене военнослужащего, проходящего военную службу по призыву</w:t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Предоставление ежемесячного пособия на ребенка военнослужащего, проходящего военную службу по призыву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ежемесячного пособия в связи с рождением и воспитанием ребенка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атегория 2. </w:t>
      </w:r>
      <w:r>
        <w:rPr>
          <w:rFonts w:ascii="Times New Roman" w:hAnsi="Times New Roman" w:cs="Times New Roman"/>
          <w:sz w:val="18"/>
          <w:szCs w:val="18"/>
        </w:rPr>
        <w:t xml:space="preserve">Ветеран</w:t>
      </w:r>
      <w:r>
        <w:rPr>
          <w:rFonts w:ascii="Times New Roman" w:hAnsi="Times New Roman" w:cs="Times New Roman"/>
          <w:sz w:val="18"/>
          <w:szCs w:val="18"/>
        </w:rPr>
        <w:t xml:space="preserve">ы</w:t>
      </w:r>
      <w:r>
        <w:rPr>
          <w:rFonts w:ascii="Times New Roman" w:hAnsi="Times New Roman" w:cs="Times New Roman"/>
          <w:sz w:val="18"/>
          <w:szCs w:val="18"/>
        </w:rPr>
        <w:t xml:space="preserve"> боевых действий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Style w:val="684"/>
        <w:tblW w:w="11057" w:type="dxa"/>
        <w:tblInd w:w="-431" w:type="dxa"/>
        <w:tblLook w:val="04A0" w:firstRow="1" w:lastRow="0" w:firstColumn="1" w:lastColumn="0" w:noHBand="0" w:noVBand="1"/>
      </w:tblPr>
      <w:tblGrid>
        <w:gridCol w:w="421"/>
        <w:gridCol w:w="10636"/>
      </w:tblGrid>
      <w:tr>
        <w:tblPrEx/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6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3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ежемесячной денежной выплаты отдельным категориям граждан в Российской Федерации (о назначении ежемесячной денежной выплаты, о переводе ежемесячной денежной выплаты с одного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снования на другое, об отказе от получения набора социальных услуг, о предоставлении набора социальных услуг или о возобновлении набора социальных услуг, об отзыве ранее поданного заявления об отказе от получения набора социальных услуг (социальной услуги)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3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Выплата страховых пенсий, накопительной пенсии и пенсий по государственному пенсионному обеспечению (доставка)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услуг по санаторно-курортному лечению, медицинской реабилитации лиц, указанных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 10 статьи 7 Федерального закона «О бюджете Фонда пенсионного и социального страхования Российской Федерации на 2025 год и на плановый период 2026 и 2027 годов», в центрах реабилитации Фонда пенсионного и социального страхования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дополнительного ежемесячного материального обеспечения некоторым категориям граждан Российской Федерации.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0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Бесплатная юридическая помощь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Категория 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Члены семьи погибшего ВБД</w:t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Style w:val="684"/>
        <w:tblW w:w="11057" w:type="dxa"/>
        <w:tblInd w:w="-431" w:type="dxa"/>
        <w:tblLook w:val="04A0" w:firstRow="1" w:lastRow="0" w:firstColumn="1" w:lastColumn="0" w:noHBand="0" w:noVBand="1"/>
      </w:tblPr>
      <w:tblGrid>
        <w:gridCol w:w="410"/>
        <w:gridCol w:w="10647"/>
      </w:tblGrid>
      <w:tr>
        <w:tblPrEx/>
        <w:trPr/>
        <w:tc>
          <w:tcPr>
            <w:tcW w:w="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0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ежемесячной денежной выплаты отдельным категориям граждан в Российской Федерации (о назначении ежемесячной денежной выплаты, о переводе ежемесячной денежной выплаты с одного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снования на другое, об отказе от получения набора социальных услуг, о предоставлении набора социальных услуг или о возобновлении набора социальных услуг, об отзыве ранее поданного заявления об отказе от получения набора социальных услуг (социальной услуги)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страховых пенсий, накопительной пенсии и пенсий по государственному пенсионному обеспечению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Выплата страховых пенсий, накопительной пенсии и пенсий по государственному пенсионному обеспечению (доставка)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Бесплатная юридическая помощь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4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некоторых мер социальной поддержки в виде денежных выплат и компенсаций военнослужащим и членам их семей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85"/>
              <w:numPr>
                <w:ilvl w:val="0"/>
                <w:numId w:val="8"/>
              </w:num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</w:rPr>
              <w:t xml:space="preserve">Назначение средств на проведение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</w:rPr>
              <w:t xml:space="preserve">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sz w:val="18"/>
                <w:szCs w:val="18"/>
              </w:rPr>
            </w:r>
          </w:p>
          <w:p>
            <w:pPr>
              <w:pStyle w:val="68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Компенсационная выплата в связи с расходами по оплате жилых помещений, коммунальных и других видов услуг членам семей погибших (умерших) военнослужащих и сотрудников некоторых федеральных органов исполнительной власти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r>
          </w:p>
          <w:p>
            <w:pPr>
              <w:pStyle w:val="685"/>
              <w:numPr>
                <w:ilvl w:val="0"/>
                <w:numId w:val="8"/>
              </w:num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</w:rPr>
              <w:t xml:space="preserve">Ежемесячное пособие детям военнослужащих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</w:rPr>
              <w:t xml:space="preserve">нной службы (служебных обязанностей) и детям лиц, умерших вследствие военной травмы после увольнения с военной службы (службы в органах и учреждениях) в части сотрудников, пенсионное обеспечение которых осуществляется Пенсионным фондом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shd w:val="clear" w:color="auto" w:fill="ffffff"/>
              </w:rPr>
            </w:r>
          </w:p>
          <w:p>
            <w:pPr>
              <w:pStyle w:val="685"/>
              <w:numPr>
                <w:ilvl w:val="0"/>
                <w:numId w:val="8"/>
              </w:num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Ежемесячная денежная компенсация военнослужащим, гражданам, призванным на военные сборы, и членам их семей, пенсионное обеспечение которых осуществляется Пенсионным фондом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shd w:val="clear" w:color="auto" w:fill="ffffff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426" w:right="1701" w:bottom="1134" w:left="85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ind w:right="-1277"/>
      <w:tabs>
        <w:tab w:val="clear" w:pos="9355" w:leader="none"/>
      </w:tabs>
    </w:pPr>
    <w:r>
      <w:t xml:space="preserve">*</w:t>
    </w:r>
    <w:r>
      <w:rPr>
        <w:rFonts w:ascii="Times New Roman" w:hAnsi="Times New Roman" w:cs="Times New Roman"/>
        <w:sz w:val="18"/>
        <w:szCs w:val="18"/>
      </w:rPr>
      <w:t xml:space="preserve">Услуги предоставляются гражданам по месту нахождения филиала Государственного фонда поддержки участников специальной военной операции «Защитники Отечества» по Алтайскому краю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0"/>
    <w:next w:val="68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0"/>
    <w:next w:val="68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0"/>
    <w:next w:val="68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0"/>
    <w:next w:val="68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0"/>
    <w:next w:val="68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0"/>
    <w:next w:val="68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0"/>
    <w:next w:val="68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0"/>
    <w:next w:val="68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0"/>
    <w:next w:val="68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0"/>
    <w:next w:val="68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1"/>
    <w:link w:val="34"/>
    <w:uiPriority w:val="10"/>
    <w:rPr>
      <w:sz w:val="48"/>
      <w:szCs w:val="48"/>
    </w:rPr>
  </w:style>
  <w:style w:type="paragraph" w:styleId="36">
    <w:name w:val="Subtitle"/>
    <w:basedOn w:val="680"/>
    <w:next w:val="68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80"/>
    <w:next w:val="68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0"/>
    <w:next w:val="68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1"/>
    <w:link w:val="687"/>
    <w:uiPriority w:val="99"/>
  </w:style>
  <w:style w:type="character" w:styleId="45">
    <w:name w:val="Footer Char"/>
    <w:basedOn w:val="681"/>
    <w:link w:val="689"/>
    <w:uiPriority w:val="99"/>
  </w:style>
  <w:style w:type="paragraph" w:styleId="46">
    <w:name w:val="Caption"/>
    <w:basedOn w:val="680"/>
    <w:next w:val="68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93"/>
    <w:uiPriority w:val="99"/>
    <w:rPr>
      <w:sz w:val="18"/>
    </w:rPr>
  </w:style>
  <w:style w:type="paragraph" w:styleId="178">
    <w:name w:val="endnote text"/>
    <w:basedOn w:val="68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table" w:styleId="684">
    <w:name w:val="Table Grid"/>
    <w:basedOn w:val="68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List Paragraph"/>
    <w:basedOn w:val="680"/>
    <w:uiPriority w:val="34"/>
    <w:qFormat/>
    <w:pPr>
      <w:contextualSpacing/>
      <w:ind w:left="720"/>
    </w:pPr>
  </w:style>
  <w:style w:type="paragraph" w:styleId="686">
    <w:name w:val="Normal (Web)"/>
    <w:basedOn w:val="680"/>
    <w:uiPriority w:val="99"/>
    <w:semiHidden/>
    <w:unhideWhenUsed/>
    <w:pPr>
      <w:spacing w:before="280" w:after="142" w:line="288" w:lineRule="auto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687">
    <w:name w:val="Header"/>
    <w:basedOn w:val="680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Верхний колонтитул Знак"/>
    <w:basedOn w:val="681"/>
    <w:link w:val="687"/>
    <w:uiPriority w:val="99"/>
  </w:style>
  <w:style w:type="paragraph" w:styleId="689">
    <w:name w:val="Footer"/>
    <w:basedOn w:val="680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Нижний колонтитул Знак"/>
    <w:basedOn w:val="681"/>
    <w:link w:val="689"/>
    <w:uiPriority w:val="99"/>
  </w:style>
  <w:style w:type="paragraph" w:styleId="691">
    <w:name w:val="Balloon Text"/>
    <w:basedOn w:val="680"/>
    <w:link w:val="6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basedOn w:val="681"/>
    <w:link w:val="691"/>
    <w:uiPriority w:val="99"/>
    <w:semiHidden/>
    <w:rPr>
      <w:rFonts w:ascii="Tahoma" w:hAnsi="Tahoma" w:cs="Tahoma"/>
      <w:sz w:val="16"/>
      <w:szCs w:val="16"/>
    </w:rPr>
  </w:style>
  <w:style w:type="paragraph" w:styleId="693">
    <w:name w:val="footnote text"/>
    <w:basedOn w:val="680"/>
    <w:link w:val="69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94" w:customStyle="1">
    <w:name w:val="Текст сноски Знак"/>
    <w:basedOn w:val="681"/>
    <w:link w:val="693"/>
    <w:uiPriority w:val="99"/>
    <w:semiHidden/>
    <w:rPr>
      <w:sz w:val="20"/>
      <w:szCs w:val="20"/>
    </w:rPr>
  </w:style>
  <w:style w:type="character" w:styleId="695">
    <w:name w:val="footnote reference"/>
    <w:basedOn w:val="681"/>
    <w:uiPriority w:val="99"/>
    <w:semiHidden/>
    <w:unhideWhenUsed/>
    <w:rPr>
      <w:vertAlign w:val="superscript"/>
    </w:rPr>
  </w:style>
  <w:style w:type="character" w:styleId="696">
    <w:name w:val="annotation reference"/>
    <w:basedOn w:val="681"/>
    <w:uiPriority w:val="99"/>
    <w:semiHidden/>
    <w:unhideWhenUsed/>
    <w:rPr>
      <w:sz w:val="16"/>
      <w:szCs w:val="16"/>
    </w:rPr>
  </w:style>
  <w:style w:type="paragraph" w:styleId="697">
    <w:name w:val="annotation text"/>
    <w:basedOn w:val="680"/>
    <w:link w:val="69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8" w:customStyle="1">
    <w:name w:val="Текст примечания Знак"/>
    <w:basedOn w:val="681"/>
    <w:link w:val="697"/>
    <w:uiPriority w:val="99"/>
    <w:semiHidden/>
    <w:rPr>
      <w:sz w:val="20"/>
      <w:szCs w:val="20"/>
    </w:rPr>
  </w:style>
  <w:style w:type="paragraph" w:styleId="699">
    <w:name w:val="annotation subject"/>
    <w:basedOn w:val="697"/>
    <w:next w:val="697"/>
    <w:link w:val="700"/>
    <w:uiPriority w:val="99"/>
    <w:semiHidden/>
    <w:unhideWhenUsed/>
    <w:rPr>
      <w:b/>
      <w:bCs/>
    </w:rPr>
  </w:style>
  <w:style w:type="character" w:styleId="700" w:customStyle="1">
    <w:name w:val="Тема примечания Знак"/>
    <w:basedOn w:val="698"/>
    <w:link w:val="699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2532-0F01-4F3F-93AE-42206091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Горячкина Елена Сергеевна</dc:creator>
  <cp:lastModifiedBy>skripaleva@rubtsovsk.org</cp:lastModifiedBy>
  <cp:revision>3</cp:revision>
  <dcterms:created xsi:type="dcterms:W3CDTF">2025-10-13T08:59:00Z</dcterms:created>
  <dcterms:modified xsi:type="dcterms:W3CDTF">2025-10-13T09:21:12Z</dcterms:modified>
</cp:coreProperties>
</file>