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4D" w:rsidRPr="00EF0A43" w:rsidRDefault="005F4E4D" w:rsidP="005F4E4D">
      <w:pPr>
        <w:jc w:val="center"/>
        <w:rPr>
          <w:sz w:val="26"/>
          <w:szCs w:val="26"/>
        </w:rPr>
      </w:pPr>
      <w:r w:rsidRPr="00EF0A43">
        <w:rPr>
          <w:sz w:val="26"/>
          <w:szCs w:val="26"/>
        </w:rPr>
        <w:t>СВОДНЫЙ ОТЧЕТ</w:t>
      </w:r>
    </w:p>
    <w:p w:rsidR="005F4E4D" w:rsidRPr="00EF0A43" w:rsidRDefault="005F4E4D" w:rsidP="005F4E4D">
      <w:pPr>
        <w:jc w:val="center"/>
        <w:rPr>
          <w:sz w:val="26"/>
          <w:szCs w:val="26"/>
        </w:rPr>
      </w:pPr>
      <w:r w:rsidRPr="00EF0A43">
        <w:rPr>
          <w:sz w:val="26"/>
          <w:szCs w:val="26"/>
        </w:rPr>
        <w:t>о проведении оценки регулирующего воздействия</w:t>
      </w:r>
    </w:p>
    <w:p w:rsidR="005F4E4D" w:rsidRPr="00EF0A43" w:rsidRDefault="005F4E4D" w:rsidP="005F4E4D">
      <w:pPr>
        <w:jc w:val="center"/>
        <w:rPr>
          <w:sz w:val="26"/>
          <w:szCs w:val="26"/>
        </w:rPr>
      </w:pPr>
      <w:r w:rsidRPr="00EF0A43">
        <w:rPr>
          <w:sz w:val="26"/>
          <w:szCs w:val="26"/>
        </w:rPr>
        <w:t xml:space="preserve">проекта муниципального нормативного правового акта </w:t>
      </w:r>
    </w:p>
    <w:p w:rsidR="005F4E4D" w:rsidRPr="00EF0A43" w:rsidRDefault="005F4E4D" w:rsidP="005F4E4D">
      <w:pPr>
        <w:tabs>
          <w:tab w:val="left" w:pos="4253"/>
        </w:tabs>
        <w:ind w:right="-2"/>
        <w:jc w:val="center"/>
        <w:rPr>
          <w:sz w:val="26"/>
          <w:szCs w:val="26"/>
        </w:rPr>
      </w:pPr>
      <w:r w:rsidRPr="00EF0A43">
        <w:rPr>
          <w:sz w:val="26"/>
          <w:szCs w:val="26"/>
        </w:rPr>
        <w:t>«Об утверждении Положения об электронной системе оплаты и учета проезда на автомобильном транспорте и городском наземном электрическом транспорте по муниципальным маршрутам регулярных перевозок муниципального образования город Рубцовск  Алтайского края»</w:t>
      </w:r>
    </w:p>
    <w:p w:rsidR="005F4E4D" w:rsidRPr="00EF0A43" w:rsidRDefault="005F4E4D" w:rsidP="005F4E4D">
      <w:pPr>
        <w:jc w:val="both"/>
        <w:rPr>
          <w:sz w:val="26"/>
          <w:szCs w:val="26"/>
        </w:rPr>
      </w:pP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D16503">
          <w:rPr>
            <w:rStyle w:val="a3"/>
            <w:color w:val="auto"/>
            <w:sz w:val="26"/>
            <w:szCs w:val="26"/>
            <w:u w:val="none"/>
            <w:lang w:val="en-US"/>
          </w:rPr>
          <w:t>stativko</w:t>
        </w:r>
        <w:r w:rsidRPr="00D16503">
          <w:rPr>
            <w:rStyle w:val="a3"/>
            <w:color w:val="auto"/>
            <w:sz w:val="26"/>
            <w:szCs w:val="26"/>
            <w:u w:val="none"/>
          </w:rPr>
          <w:t>@rubtsovsk</w:t>
        </w:r>
        <w:r w:rsidRPr="00E84215">
          <w:rPr>
            <w:rStyle w:val="a3"/>
            <w:color w:val="auto"/>
            <w:sz w:val="28"/>
            <w:szCs w:val="28"/>
            <w:u w:val="none"/>
          </w:rPr>
          <w:t>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</w:t>
      </w:r>
    </w:p>
    <w:p w:rsidR="005F4E4D" w:rsidRDefault="005F4E4D" w:rsidP="005F4E4D">
      <w:pPr>
        <w:tabs>
          <w:tab w:val="left" w:pos="4253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 разработке проекта муниципального нормативного правового акта принято в целях </w:t>
      </w:r>
      <w:r w:rsidR="00EF0A43">
        <w:rPr>
          <w:sz w:val="26"/>
          <w:szCs w:val="26"/>
        </w:rPr>
        <w:t xml:space="preserve">улучшения транспортного обслуживания населения, совершенствования системы оплаты и учета проезда граждан транспортом общего пользования, в соответствии с </w:t>
      </w:r>
      <w:r>
        <w:rPr>
          <w:sz w:val="26"/>
          <w:szCs w:val="26"/>
        </w:rPr>
        <w:t>Федеральн</w:t>
      </w:r>
      <w:r w:rsidR="00EF0A43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EF0A43">
        <w:rPr>
          <w:sz w:val="26"/>
          <w:szCs w:val="26"/>
        </w:rPr>
        <w:t>ом</w:t>
      </w:r>
      <w:r>
        <w:rPr>
          <w:sz w:val="26"/>
          <w:szCs w:val="26"/>
        </w:rPr>
        <w:t xml:space="preserve"> от 0</w:t>
      </w:r>
      <w:r w:rsidR="00EF0A43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EF0A43">
        <w:rPr>
          <w:sz w:val="26"/>
          <w:szCs w:val="26"/>
        </w:rPr>
        <w:t>1</w:t>
      </w:r>
      <w:r>
        <w:rPr>
          <w:sz w:val="26"/>
          <w:szCs w:val="26"/>
        </w:rPr>
        <w:t>0.20</w:t>
      </w:r>
      <w:r w:rsidR="00EF0A43">
        <w:rPr>
          <w:sz w:val="26"/>
          <w:szCs w:val="26"/>
        </w:rPr>
        <w:t>0</w:t>
      </w:r>
      <w:r>
        <w:rPr>
          <w:sz w:val="26"/>
          <w:szCs w:val="26"/>
        </w:rPr>
        <w:t xml:space="preserve">3 № </w:t>
      </w:r>
      <w:r w:rsidR="00EF0A43">
        <w:rPr>
          <w:sz w:val="26"/>
          <w:szCs w:val="26"/>
        </w:rPr>
        <w:t>131</w:t>
      </w:r>
      <w:r>
        <w:rPr>
          <w:sz w:val="26"/>
          <w:szCs w:val="26"/>
        </w:rPr>
        <w:t>-ФЗ «О</w:t>
      </w:r>
      <w:r w:rsidR="00EF0A43">
        <w:rPr>
          <w:sz w:val="26"/>
          <w:szCs w:val="26"/>
        </w:rPr>
        <w:t xml:space="preserve">б общих принципах организации местного самоуправления в </w:t>
      </w:r>
      <w:r>
        <w:rPr>
          <w:sz w:val="26"/>
          <w:szCs w:val="26"/>
        </w:rPr>
        <w:t>Российской Федерации</w:t>
      </w:r>
      <w:r w:rsidR="00EF0A43">
        <w:rPr>
          <w:sz w:val="26"/>
          <w:szCs w:val="26"/>
        </w:rPr>
        <w:t xml:space="preserve">».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Предметом правового регулирования проекта муниципального н</w:t>
      </w:r>
      <w:r w:rsidR="00767663">
        <w:rPr>
          <w:sz w:val="26"/>
          <w:szCs w:val="26"/>
        </w:rPr>
        <w:t>ормативного правового акта являю</w:t>
      </w:r>
      <w:r>
        <w:rPr>
          <w:sz w:val="26"/>
          <w:szCs w:val="26"/>
        </w:rPr>
        <w:t xml:space="preserve">тся </w:t>
      </w:r>
      <w:r w:rsidR="00767663">
        <w:rPr>
          <w:sz w:val="26"/>
          <w:szCs w:val="26"/>
        </w:rPr>
        <w:t>цели, назначение, структура, порядок функционирования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</w:t>
      </w:r>
      <w:r>
        <w:rPr>
          <w:rFonts w:eastAsia="Calibri"/>
          <w:sz w:val="26"/>
          <w:szCs w:val="26"/>
        </w:rPr>
        <w:t>.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767663" w:rsidRDefault="00767663" w:rsidP="005F4E4D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</w:t>
      </w:r>
      <w:r w:rsidR="004F539F">
        <w:rPr>
          <w:sz w:val="26"/>
          <w:szCs w:val="26"/>
        </w:rPr>
        <w:t>,</w:t>
      </w:r>
      <w:r>
        <w:rPr>
          <w:sz w:val="26"/>
          <w:szCs w:val="26"/>
        </w:rPr>
        <w:t xml:space="preserve"> индивидуальных предпринимателей, </w:t>
      </w:r>
      <w:r w:rsidR="004F539F">
        <w:rPr>
          <w:sz w:val="26"/>
          <w:szCs w:val="26"/>
        </w:rPr>
        <w:t xml:space="preserve">участников договора простого товарищества, </w:t>
      </w:r>
      <w:r>
        <w:rPr>
          <w:sz w:val="26"/>
          <w:szCs w:val="26"/>
        </w:rPr>
        <w:t>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  <w:proofErr w:type="gramEnd"/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 решения проблемы предложенным способом.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767663" w:rsidRDefault="00767663" w:rsidP="0076766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Имеется необходимость распространения предлагаемого регулирования на отношения, возникшие с 01.01.2024.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5F4E4D" w:rsidRDefault="005F4E4D" w:rsidP="005F4E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767663"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 w:rsidR="00767663">
        <w:rPr>
          <w:sz w:val="26"/>
          <w:szCs w:val="26"/>
        </w:rPr>
        <w:t>7</w:t>
      </w:r>
      <w:r>
        <w:rPr>
          <w:sz w:val="26"/>
          <w:szCs w:val="26"/>
        </w:rPr>
        <w:t>.2024</w:t>
      </w:r>
      <w:r w:rsidRPr="0080011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767663">
        <w:rPr>
          <w:sz w:val="26"/>
          <w:szCs w:val="26"/>
        </w:rPr>
        <w:t>13</w:t>
      </w:r>
      <w:r>
        <w:rPr>
          <w:sz w:val="26"/>
          <w:szCs w:val="26"/>
        </w:rPr>
        <w:t>.0</w:t>
      </w:r>
      <w:r w:rsidR="00767663">
        <w:rPr>
          <w:sz w:val="26"/>
          <w:szCs w:val="26"/>
        </w:rPr>
        <w:t>8</w:t>
      </w:r>
      <w:r>
        <w:rPr>
          <w:sz w:val="26"/>
          <w:szCs w:val="26"/>
        </w:rPr>
        <w:t>.2024.</w:t>
      </w:r>
    </w:p>
    <w:p w:rsidR="005F4E4D" w:rsidRDefault="005F4E4D" w:rsidP="005F4E4D">
      <w:pPr>
        <w:jc w:val="both"/>
        <w:rPr>
          <w:sz w:val="26"/>
          <w:szCs w:val="26"/>
        </w:rPr>
      </w:pPr>
    </w:p>
    <w:p w:rsidR="005F4E4D" w:rsidRDefault="005F4E4D" w:rsidP="005F4E4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5F4E4D" w:rsidRDefault="005F4E4D" w:rsidP="005F4E4D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5F4E4D" w:rsidRDefault="005F4E4D" w:rsidP="005F4E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5F4E4D" w:rsidRDefault="005F4E4D" w:rsidP="005F4E4D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транспорту и дорожному хозяйству                                                          Е.И. Долгих</w:t>
      </w:r>
    </w:p>
    <w:p w:rsidR="005F4E4D" w:rsidRDefault="005F4E4D" w:rsidP="005F4E4D">
      <w:pPr>
        <w:jc w:val="both"/>
        <w:rPr>
          <w:sz w:val="26"/>
          <w:szCs w:val="26"/>
        </w:rPr>
      </w:pPr>
    </w:p>
    <w:p w:rsidR="005F4E4D" w:rsidRDefault="005F4E4D" w:rsidP="005F4E4D">
      <w:pPr>
        <w:jc w:val="center"/>
        <w:rPr>
          <w:sz w:val="26"/>
          <w:szCs w:val="26"/>
        </w:rPr>
      </w:pPr>
    </w:p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E4D"/>
    <w:rsid w:val="004F539F"/>
    <w:rsid w:val="00544FA1"/>
    <w:rsid w:val="005F4E4D"/>
    <w:rsid w:val="00767663"/>
    <w:rsid w:val="00A35D25"/>
    <w:rsid w:val="00DA0E5B"/>
    <w:rsid w:val="00EF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4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2024-07-22T01:44:00Z</dcterms:created>
  <dcterms:modified xsi:type="dcterms:W3CDTF">2024-07-22T06:18:00Z</dcterms:modified>
</cp:coreProperties>
</file>