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C1672C">
        <w:rPr>
          <w:rStyle w:val="ab"/>
          <w:rFonts w:ascii="Times New Roman" w:hAnsi="Times New Roman" w:cs="Times New Roman"/>
          <w:i/>
          <w:sz w:val="24"/>
          <w:szCs w:val="24"/>
        </w:rPr>
        <w:t>4</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4416E6" w:rsidRPr="007F7317" w:rsidRDefault="004416E6" w:rsidP="004416E6">
      <w:pPr>
        <w:jc w:val="center"/>
        <w:rPr>
          <w:rFonts w:ascii="Times New Roman" w:hAnsi="Times New Roman" w:cs="Times New Roman"/>
          <w:sz w:val="24"/>
          <w:szCs w:val="24"/>
        </w:rPr>
      </w:pPr>
      <w:r w:rsidRPr="007F7317">
        <w:rPr>
          <w:rFonts w:ascii="Times New Roman" w:hAnsi="Times New Roman" w:cs="Times New Roman"/>
          <w:sz w:val="24"/>
          <w:szCs w:val="24"/>
        </w:rPr>
        <w:t xml:space="preserve">Идентификационный код закупки - </w:t>
      </w:r>
      <w:r w:rsidR="00C1672C" w:rsidRPr="000D49F1">
        <w:rPr>
          <w:rFonts w:ascii="Times New Roman" w:hAnsi="Times New Roman" w:cs="Times New Roman"/>
          <w:sz w:val="24"/>
          <w:szCs w:val="24"/>
        </w:rPr>
        <w:t>183220901107922090100101311314222244</w:t>
      </w:r>
    </w:p>
    <w:p w:rsidR="004416E6" w:rsidRP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4416E6" w:rsidRPr="003A2108" w:rsidRDefault="004416E6" w:rsidP="00C1672C">
      <w:pPr>
        <w:ind w:firstLine="708"/>
        <w:contextualSpacing/>
        <w:jc w:val="both"/>
        <w:rPr>
          <w:rFonts w:ascii="Times New Roman" w:hAnsi="Times New Roman" w:cs="Times New Roman"/>
          <w:sz w:val="24"/>
          <w:szCs w:val="24"/>
        </w:rPr>
      </w:pPr>
      <w:proofErr w:type="gramStart"/>
      <w:r w:rsidRPr="00C1672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672C">
        <w:rPr>
          <w:rFonts w:ascii="Times New Roman" w:hAnsi="Times New Roman" w:cs="Times New Roman"/>
          <w:kern w:val="16"/>
          <w:sz w:val="24"/>
          <w:szCs w:val="24"/>
        </w:rPr>
        <w:t xml:space="preserve">в соответствии с </w:t>
      </w:r>
      <w:r w:rsidRPr="00C1672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672C">
        <w:rPr>
          <w:rFonts w:ascii="Times New Roman" w:hAnsi="Times New Roman" w:cs="Times New Roman"/>
          <w:kern w:val="16"/>
          <w:sz w:val="24"/>
          <w:szCs w:val="24"/>
        </w:rPr>
        <w:t xml:space="preserve"> и на основании</w:t>
      </w:r>
      <w:r w:rsidRPr="00C1672C">
        <w:rPr>
          <w:rFonts w:ascii="Times New Roman" w:hAnsi="Times New Roman" w:cs="Times New Roman"/>
          <w:i/>
          <w:kern w:val="16"/>
          <w:sz w:val="24"/>
          <w:szCs w:val="24"/>
        </w:rPr>
        <w:t xml:space="preserve"> </w:t>
      </w:r>
      <w:r w:rsidRPr="00C1672C">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672C">
        <w:rPr>
          <w:rFonts w:ascii="Times New Roman" w:hAnsi="Times New Roman" w:cs="Times New Roman"/>
          <w:kern w:val="16"/>
          <w:sz w:val="24"/>
          <w:szCs w:val="24"/>
        </w:rPr>
        <w:t xml:space="preserve">», о </w:t>
      </w:r>
      <w:r w:rsidRPr="003A2108">
        <w:rPr>
          <w:rFonts w:ascii="Times New Roman" w:hAnsi="Times New Roman" w:cs="Times New Roman"/>
          <w:kern w:val="16"/>
          <w:sz w:val="24"/>
          <w:szCs w:val="24"/>
        </w:rPr>
        <w:t>нижеследующем:</w:t>
      </w:r>
    </w:p>
    <w:p w:rsidR="004416E6" w:rsidRPr="003A2108"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3A2108">
        <w:rPr>
          <w:rFonts w:ascii="Times New Roman" w:hAnsi="Times New Roman" w:cs="Times New Roman"/>
          <w:b/>
          <w:sz w:val="24"/>
          <w:szCs w:val="24"/>
        </w:rPr>
        <w:t>Предмет Контракта</w:t>
      </w:r>
    </w:p>
    <w:p w:rsidR="004416E6" w:rsidRPr="003A2108" w:rsidRDefault="004416E6" w:rsidP="00C1672C">
      <w:pPr>
        <w:spacing w:before="120" w:after="120" w:line="240" w:lineRule="auto"/>
        <w:contextualSpacing/>
        <w:jc w:val="both"/>
        <w:rPr>
          <w:rFonts w:ascii="Times New Roman" w:hAnsi="Times New Roman" w:cs="Times New Roman"/>
          <w:sz w:val="24"/>
          <w:szCs w:val="24"/>
        </w:rPr>
      </w:pPr>
      <w:r w:rsidRPr="003A2108">
        <w:rPr>
          <w:rFonts w:ascii="Times New Roman" w:hAnsi="Times New Roman" w:cs="Times New Roman"/>
          <w:sz w:val="24"/>
          <w:szCs w:val="24"/>
        </w:rPr>
        <w:t>1.1 Подрядчик обязуется собственными или привлеченными</w:t>
      </w:r>
      <w:r w:rsidRPr="003A2108">
        <w:rPr>
          <w:rFonts w:ascii="Times New Roman" w:hAnsi="Times New Roman" w:cs="Times New Roman"/>
          <w:i/>
          <w:sz w:val="24"/>
          <w:szCs w:val="24"/>
        </w:rPr>
        <w:t xml:space="preserve"> </w:t>
      </w:r>
      <w:r w:rsidRPr="003A2108">
        <w:rPr>
          <w:rFonts w:ascii="Times New Roman" w:hAnsi="Times New Roman" w:cs="Times New Roman"/>
          <w:sz w:val="24"/>
          <w:szCs w:val="24"/>
        </w:rPr>
        <w:t>силами</w:t>
      </w:r>
      <w:r w:rsidRPr="003A2108">
        <w:rPr>
          <w:rFonts w:ascii="Times New Roman" w:hAnsi="Times New Roman" w:cs="Times New Roman"/>
          <w:i/>
          <w:sz w:val="24"/>
          <w:szCs w:val="24"/>
        </w:rPr>
        <w:t>,</w:t>
      </w:r>
      <w:r w:rsidRPr="003A2108">
        <w:rPr>
          <w:rFonts w:ascii="Times New Roman" w:hAnsi="Times New Roman" w:cs="Times New Roman"/>
          <w:sz w:val="24"/>
          <w:szCs w:val="24"/>
        </w:rPr>
        <w:t xml:space="preserve"> своевременно на условиях настоящего Контракта </w:t>
      </w:r>
      <w:r w:rsidRPr="003A2108">
        <w:rPr>
          <w:rFonts w:ascii="Times New Roman" w:hAnsi="Times New Roman" w:cs="Times New Roman"/>
          <w:bCs/>
          <w:sz w:val="24"/>
          <w:szCs w:val="24"/>
        </w:rPr>
        <w:t xml:space="preserve">выполнить  работы  </w:t>
      </w:r>
      <w:r w:rsidRPr="003A2108">
        <w:rPr>
          <w:rFonts w:ascii="Times New Roman" w:hAnsi="Times New Roman" w:cs="Times New Roman"/>
          <w:b/>
          <w:sz w:val="24"/>
          <w:szCs w:val="24"/>
        </w:rPr>
        <w:t xml:space="preserve"> </w:t>
      </w:r>
      <w:r w:rsidRPr="003A2108">
        <w:rPr>
          <w:rFonts w:ascii="Times New Roman" w:hAnsi="Times New Roman" w:cs="Times New Roman"/>
          <w:bCs/>
          <w:sz w:val="24"/>
          <w:szCs w:val="24"/>
        </w:rPr>
        <w:t xml:space="preserve">по </w:t>
      </w:r>
      <w:r w:rsidR="00C1672C" w:rsidRPr="003A2108">
        <w:rPr>
          <w:rFonts w:ascii="Times New Roman" w:hAnsi="Times New Roman" w:cs="Times New Roman"/>
          <w:sz w:val="24"/>
          <w:szCs w:val="24"/>
        </w:rPr>
        <w:t xml:space="preserve">восстановлению  линий  наружного освещения  в городе Рубцовске в 2018 году </w:t>
      </w:r>
      <w:r w:rsidRPr="003A2108">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3A2108" w:rsidRDefault="004416E6" w:rsidP="00C1672C">
      <w:pPr>
        <w:spacing w:before="120" w:after="120" w:line="240" w:lineRule="auto"/>
        <w:contextualSpacing/>
        <w:jc w:val="both"/>
        <w:rPr>
          <w:rFonts w:ascii="Times New Roman" w:hAnsi="Times New Roman" w:cs="Times New Roman"/>
          <w:i/>
          <w:iCs/>
          <w:sz w:val="24"/>
          <w:szCs w:val="24"/>
        </w:rPr>
      </w:pPr>
      <w:r w:rsidRPr="003A2108">
        <w:rPr>
          <w:rFonts w:ascii="Times New Roman" w:hAnsi="Times New Roman" w:cs="Times New Roman"/>
          <w:sz w:val="24"/>
          <w:szCs w:val="24"/>
        </w:rPr>
        <w:t>1.2. Состав и объем работ определяется Приложениями № 1; № 2</w:t>
      </w:r>
      <w:r w:rsidR="00C1672C" w:rsidRPr="003A2108">
        <w:rPr>
          <w:rFonts w:ascii="Times New Roman" w:hAnsi="Times New Roman" w:cs="Times New Roman"/>
          <w:sz w:val="24"/>
          <w:szCs w:val="24"/>
        </w:rPr>
        <w:t xml:space="preserve"> </w:t>
      </w:r>
      <w:r w:rsidRPr="003A2108">
        <w:rPr>
          <w:rFonts w:ascii="Times New Roman" w:hAnsi="Times New Roman" w:cs="Times New Roman"/>
          <w:sz w:val="24"/>
          <w:szCs w:val="24"/>
        </w:rPr>
        <w:t>к настоящему Контракту.</w:t>
      </w:r>
    </w:p>
    <w:p w:rsidR="00C1672C" w:rsidRPr="003A2108" w:rsidRDefault="004416E6" w:rsidP="00C1672C">
      <w:pPr>
        <w:pStyle w:val="Style39"/>
        <w:widowControl/>
        <w:spacing w:line="240" w:lineRule="auto"/>
        <w:ind w:firstLine="0"/>
        <w:jc w:val="both"/>
        <w:rPr>
          <w:rStyle w:val="FontStyle51"/>
          <w:sz w:val="24"/>
          <w:szCs w:val="24"/>
        </w:rPr>
      </w:pPr>
      <w:r w:rsidRPr="003A2108">
        <w:t>1.3. Место выполнения работ: Российская Федерация, Алтайский край, г</w:t>
      </w:r>
      <w:r w:rsidR="00247191" w:rsidRPr="003A2108">
        <w:t xml:space="preserve">ород </w:t>
      </w:r>
      <w:r w:rsidRPr="003A2108">
        <w:t>Рубцовск,</w:t>
      </w:r>
      <w:r w:rsidRPr="003A2108">
        <w:rPr>
          <w:bCs/>
        </w:rPr>
        <w:t xml:space="preserve"> </w:t>
      </w:r>
      <w:r w:rsidR="00C1672C" w:rsidRPr="003A2108">
        <w:rPr>
          <w:bCs/>
        </w:rPr>
        <w:t>пер</w:t>
      </w:r>
      <w:proofErr w:type="gramStart"/>
      <w:r w:rsidR="00C1672C" w:rsidRPr="003A2108">
        <w:rPr>
          <w:bCs/>
        </w:rPr>
        <w:t>.С</w:t>
      </w:r>
      <w:proofErr w:type="gramEnd"/>
      <w:r w:rsidR="00C1672C" w:rsidRPr="003A2108">
        <w:rPr>
          <w:bCs/>
        </w:rPr>
        <w:t xml:space="preserve">танционный от ул.Ватутина до ул.Магистральной, ТП-230; ул. </w:t>
      </w:r>
      <w:proofErr w:type="spellStart"/>
      <w:r w:rsidR="00C1672C" w:rsidRPr="003A2108">
        <w:rPr>
          <w:bCs/>
        </w:rPr>
        <w:t>Сельмашская</w:t>
      </w:r>
      <w:proofErr w:type="spellEnd"/>
      <w:r w:rsidR="00C1672C" w:rsidRPr="003A2108">
        <w:rPr>
          <w:bCs/>
        </w:rPr>
        <w:t xml:space="preserve"> от пр.Ленина до Угловского тракта, ул. Брусилова от Рабочего тракта до ул. Одесской, пр. </w:t>
      </w:r>
      <w:proofErr w:type="spellStart"/>
      <w:r w:rsidR="00C1672C" w:rsidRPr="003A2108">
        <w:rPr>
          <w:bCs/>
        </w:rPr>
        <w:t>Рубцовский</w:t>
      </w:r>
      <w:proofErr w:type="spellEnd"/>
      <w:r w:rsidR="00C1672C" w:rsidRPr="003A2108">
        <w:rPr>
          <w:bCs/>
        </w:rPr>
        <w:t xml:space="preserve"> от ул</w:t>
      </w:r>
      <w:proofErr w:type="gramStart"/>
      <w:r w:rsidR="00C1672C" w:rsidRPr="003A2108">
        <w:rPr>
          <w:bCs/>
        </w:rPr>
        <w:t>.П</w:t>
      </w:r>
      <w:proofErr w:type="gramEnd"/>
      <w:r w:rsidR="00C1672C" w:rsidRPr="003A2108">
        <w:rPr>
          <w:bCs/>
        </w:rPr>
        <w:t>ролетарской до реки Алей, ул. Ростовская, 20а,15,16, ул. Танковая от ул.Октябрьской до дома №31 по ул.Алтайской, ул. Мельничная, 125, 121, 132а, 144, 116, 110, 103, ул. Мелиоративная, 7, 14, 20-1, 22, 26/2,4, ул. Трудовая, 30, 26, 21, 17, 11, 5, 1, 01, школа № 7 по ул. Дзержинского, школа № 9, школа № 6, школа № 18, школа № 1, школа № 11, школа № 6 пер. С. Кр</w:t>
      </w:r>
      <w:r w:rsidR="005F4004">
        <w:rPr>
          <w:bCs/>
        </w:rPr>
        <w:t>и</w:t>
      </w:r>
      <w:r w:rsidR="00C1672C" w:rsidRPr="003A2108">
        <w:rPr>
          <w:bCs/>
        </w:rPr>
        <w:t xml:space="preserve">венко </w:t>
      </w:r>
      <w:r w:rsidR="00C1672C" w:rsidRPr="003A2108">
        <w:rPr>
          <w:rStyle w:val="FontStyle51"/>
          <w:sz w:val="24"/>
          <w:szCs w:val="24"/>
        </w:rPr>
        <w:t>.</w:t>
      </w:r>
    </w:p>
    <w:p w:rsidR="00676143" w:rsidRPr="003A2108" w:rsidRDefault="00676143" w:rsidP="00C1672C">
      <w:pPr>
        <w:pStyle w:val="Style39"/>
        <w:widowControl/>
        <w:spacing w:line="240" w:lineRule="auto"/>
        <w:ind w:firstLine="0"/>
        <w:jc w:val="both"/>
        <w:rPr>
          <w:rStyle w:val="FontStyle51"/>
          <w:sz w:val="24"/>
          <w:szCs w:val="24"/>
        </w:rPr>
      </w:pPr>
    </w:p>
    <w:p w:rsidR="004416E6" w:rsidRPr="003A2108" w:rsidRDefault="004416E6" w:rsidP="00247191">
      <w:pPr>
        <w:jc w:val="both"/>
        <w:rPr>
          <w:rFonts w:ascii="Times New Roman" w:hAnsi="Times New Roman" w:cs="Times New Roman"/>
          <w:sz w:val="24"/>
          <w:szCs w:val="24"/>
        </w:rPr>
      </w:pPr>
      <w:r w:rsidRPr="003A2108">
        <w:rPr>
          <w:rFonts w:ascii="Times New Roman" w:hAnsi="Times New Roman" w:cs="Times New Roman"/>
          <w:bCs/>
          <w:sz w:val="24"/>
          <w:szCs w:val="24"/>
        </w:rPr>
        <w:t xml:space="preserve">.   </w:t>
      </w:r>
      <w:r w:rsidRPr="003A2108">
        <w:rPr>
          <w:rFonts w:ascii="Times New Roman" w:hAnsi="Times New Roman" w:cs="Times New Roman"/>
          <w:sz w:val="24"/>
          <w:szCs w:val="24"/>
        </w:rPr>
        <w:t xml:space="preserve"> </w:t>
      </w:r>
    </w:p>
    <w:p w:rsidR="004416E6" w:rsidRPr="003A2108"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составляет</w:t>
      </w:r>
      <w:proofErr w:type="gramStart"/>
      <w:r w:rsidRPr="003A2108">
        <w:rPr>
          <w:rFonts w:ascii="Times New Roman" w:hAnsi="Times New Roman" w:cs="Times New Roman"/>
          <w:sz w:val="24"/>
          <w:szCs w:val="24"/>
        </w:rPr>
        <w:t xml:space="preserve"> __________ (_________) </w:t>
      </w:r>
      <w:proofErr w:type="gramEnd"/>
      <w:r w:rsidRPr="003A2108">
        <w:rPr>
          <w:rFonts w:ascii="Times New Roman" w:hAnsi="Times New Roman" w:cs="Times New Roman"/>
          <w:sz w:val="24"/>
          <w:szCs w:val="24"/>
        </w:rPr>
        <w:t>рублей _______ копеек, включая налог на добавленную стоимость (__ %): __________</w:t>
      </w:r>
      <w:r w:rsidRPr="004416E6">
        <w:rPr>
          <w:rFonts w:ascii="Times New Roman" w:hAnsi="Times New Roman" w:cs="Times New Roman"/>
          <w:sz w:val="24"/>
          <w:szCs w:val="24"/>
        </w:rPr>
        <w:t xml:space="preserve">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w:t>
      </w:r>
      <w:r w:rsidRPr="004416E6">
        <w:rPr>
          <w:rFonts w:ascii="Times New Roman" w:hAnsi="Times New Roman" w:cs="Times New Roman"/>
          <w:sz w:val="24"/>
          <w:szCs w:val="24"/>
        </w:rPr>
        <w:lastRenderedPageBreak/>
        <w:t>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3A2108" w:rsidRDefault="005E2203"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spacing w:val="-10"/>
          <w:sz w:val="24"/>
          <w:szCs w:val="24"/>
        </w:rPr>
        <w:t>3.6. Подрядчик</w:t>
      </w:r>
      <w:r w:rsidRPr="003A2108">
        <w:rPr>
          <w:rFonts w:ascii="Times New Roman" w:hAnsi="Times New Roman" w:cs="Times New Roman"/>
          <w:bCs/>
          <w:sz w:val="24"/>
          <w:szCs w:val="24"/>
        </w:rPr>
        <w:t xml:space="preserve"> предоставляет гарантийный срок  на качество выполненных работ – </w:t>
      </w:r>
      <w:r w:rsidR="00F8389C" w:rsidRPr="003A2108">
        <w:rPr>
          <w:rFonts w:ascii="Times New Roman" w:hAnsi="Times New Roman" w:cs="Times New Roman"/>
          <w:bCs/>
          <w:sz w:val="24"/>
          <w:szCs w:val="24"/>
        </w:rPr>
        <w:t xml:space="preserve">тридцать шесть </w:t>
      </w:r>
      <w:r w:rsidRPr="003A2108">
        <w:rPr>
          <w:rFonts w:ascii="Times New Roman" w:hAnsi="Times New Roman" w:cs="Times New Roman"/>
          <w:bCs/>
          <w:sz w:val="24"/>
          <w:szCs w:val="24"/>
        </w:rPr>
        <w:t xml:space="preserve">месяцев с момента подписания сторонами акта о выполненных работах. </w:t>
      </w:r>
      <w:r w:rsidR="00676143" w:rsidRPr="003A2108">
        <w:rPr>
          <w:rFonts w:ascii="Times New Roman" w:hAnsi="Times New Roman" w:cs="Times New Roman"/>
          <w:sz w:val="24"/>
          <w:szCs w:val="24"/>
        </w:rPr>
        <w:t>Гарантии качества на все светодиодные светильники 5 лет.</w:t>
      </w:r>
    </w:p>
    <w:p w:rsidR="00676143" w:rsidRPr="003A2108" w:rsidRDefault="00D577EC" w:rsidP="00676143">
      <w:pPr>
        <w:spacing w:after="0" w:line="240" w:lineRule="auto"/>
        <w:jc w:val="both"/>
        <w:rPr>
          <w:rFonts w:ascii="Times New Roman" w:hAnsi="Times New Roman" w:cs="Times New Roman"/>
          <w:sz w:val="24"/>
          <w:szCs w:val="24"/>
        </w:rPr>
      </w:pPr>
      <w:r w:rsidRPr="003A2108">
        <w:rPr>
          <w:rFonts w:ascii="Times New Roman" w:hAnsi="Times New Roman" w:cs="Times New Roman"/>
          <w:bCs/>
          <w:sz w:val="24"/>
          <w:szCs w:val="24"/>
        </w:rPr>
        <w:t xml:space="preserve">3.7. </w:t>
      </w:r>
      <w:r w:rsidR="00676143" w:rsidRPr="003A2108">
        <w:rPr>
          <w:rFonts w:ascii="Times New Roman" w:hAnsi="Times New Roman" w:cs="Times New Roman"/>
          <w:bCs/>
          <w:sz w:val="24"/>
          <w:szCs w:val="24"/>
        </w:rPr>
        <w:t xml:space="preserve">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 </w:t>
      </w:r>
    </w:p>
    <w:p w:rsidR="005E2203" w:rsidRPr="003A2108" w:rsidRDefault="00D577EC"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bCs/>
          <w:sz w:val="24"/>
          <w:szCs w:val="24"/>
        </w:rPr>
        <w:t xml:space="preserve">3.8. </w:t>
      </w:r>
      <w:r w:rsidR="005E2203" w:rsidRPr="003A2108">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3A2108" w:rsidRDefault="00D577EC"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bCs/>
          <w:sz w:val="24"/>
          <w:szCs w:val="24"/>
        </w:rPr>
        <w:t xml:space="preserve">3.9. </w:t>
      </w:r>
      <w:r w:rsidR="005E2203" w:rsidRPr="003A2108">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r w:rsidR="00676143" w:rsidRPr="003A2108">
        <w:rPr>
          <w:rFonts w:ascii="Times New Roman" w:hAnsi="Times New Roman" w:cs="Times New Roman"/>
          <w:bCs/>
          <w:sz w:val="24"/>
          <w:szCs w:val="24"/>
        </w:rPr>
        <w:t xml:space="preserve"> </w:t>
      </w:r>
    </w:p>
    <w:p w:rsidR="00676143" w:rsidRPr="003A2108" w:rsidRDefault="00676143" w:rsidP="00676143">
      <w:pPr>
        <w:spacing w:after="0" w:line="240" w:lineRule="auto"/>
        <w:jc w:val="both"/>
        <w:rPr>
          <w:rFonts w:ascii="Times New Roman" w:hAnsi="Times New Roman" w:cs="Times New Roman"/>
          <w:bCs/>
          <w:sz w:val="24"/>
          <w:szCs w:val="24"/>
        </w:rPr>
      </w:pPr>
    </w:p>
    <w:p w:rsidR="004416E6" w:rsidRPr="003A2108"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3A2108">
        <w:rPr>
          <w:rFonts w:ascii="Times New Roman" w:hAnsi="Times New Roman" w:cs="Times New Roman"/>
          <w:b/>
          <w:sz w:val="24"/>
          <w:szCs w:val="24"/>
        </w:rPr>
        <w:t>Сроки выполнения работ по Контракту</w:t>
      </w:r>
    </w:p>
    <w:p w:rsidR="004416E6" w:rsidRPr="003A210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Подрядчик приступает к выполнению работ </w:t>
      </w:r>
      <w:proofErr w:type="gramStart"/>
      <w:r w:rsidRPr="003A2108">
        <w:rPr>
          <w:rFonts w:ascii="Times New Roman" w:hAnsi="Times New Roman" w:cs="Times New Roman"/>
          <w:sz w:val="24"/>
          <w:szCs w:val="24"/>
        </w:rPr>
        <w:t>с  даты  заключения</w:t>
      </w:r>
      <w:proofErr w:type="gramEnd"/>
      <w:r w:rsidRPr="003A2108">
        <w:rPr>
          <w:rFonts w:ascii="Times New Roman" w:hAnsi="Times New Roman" w:cs="Times New Roman"/>
          <w:sz w:val="24"/>
          <w:szCs w:val="24"/>
        </w:rPr>
        <w:t xml:space="preserve">  Контракта и выполняет их </w:t>
      </w:r>
      <w:r w:rsidR="009E5424" w:rsidRPr="003A2108">
        <w:rPr>
          <w:rFonts w:ascii="Times New Roman" w:hAnsi="Times New Roman" w:cs="Times New Roman"/>
          <w:sz w:val="24"/>
          <w:szCs w:val="24"/>
        </w:rPr>
        <w:t>д</w:t>
      </w:r>
      <w:r w:rsidRPr="003A2108">
        <w:rPr>
          <w:rFonts w:ascii="Times New Roman" w:hAnsi="Times New Roman" w:cs="Times New Roman"/>
          <w:sz w:val="24"/>
          <w:szCs w:val="24"/>
        </w:rPr>
        <w:t xml:space="preserve">о </w:t>
      </w:r>
      <w:r w:rsidR="00BF65E8" w:rsidRPr="003A2108">
        <w:rPr>
          <w:rStyle w:val="FontStyle51"/>
          <w:sz w:val="24"/>
          <w:szCs w:val="24"/>
        </w:rPr>
        <w:t>31 августа 2018 года.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w:t>
      </w:r>
      <w:r w:rsidRPr="004416E6">
        <w:rPr>
          <w:rFonts w:ascii="Times New Roman" w:hAnsi="Times New Roman" w:cs="Times New Roman"/>
          <w:sz w:val="24"/>
          <w:szCs w:val="24"/>
        </w:rPr>
        <w:lastRenderedPageBreak/>
        <w:t xml:space="preserve">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BF65E8" w:rsidRDefault="004416E6" w:rsidP="00BF65E8">
      <w:pPr>
        <w:pStyle w:val="Style27"/>
        <w:widowControl/>
        <w:tabs>
          <w:tab w:val="left" w:pos="1085"/>
          <w:tab w:val="left" w:leader="underscore" w:pos="8957"/>
        </w:tabs>
        <w:spacing w:line="322" w:lineRule="exact"/>
        <w:ind w:firstLine="0"/>
        <w:rPr>
          <w:kern w:val="16"/>
        </w:rPr>
      </w:pPr>
      <w:r w:rsidRPr="004416E6">
        <w:rPr>
          <w:kern w:val="16"/>
        </w:rPr>
        <w:t xml:space="preserve">6.2. Обеспечение исполнения </w:t>
      </w:r>
      <w:r w:rsidRPr="00A02F2C">
        <w:rPr>
          <w:kern w:val="16"/>
        </w:rPr>
        <w:t xml:space="preserve">Контракта предоставляется Заказчику до заключения Контракта. </w:t>
      </w:r>
      <w:r w:rsidRPr="00A02F2C">
        <w:t xml:space="preserve">Размер обеспечения исполнения Контракта </w:t>
      </w:r>
      <w:r w:rsidRPr="00BF65E8">
        <w:t>составляет:</w:t>
      </w:r>
      <w:r w:rsidR="00A02F2C" w:rsidRPr="00BF65E8">
        <w:t xml:space="preserve"> </w:t>
      </w:r>
      <w:r w:rsidR="00BF65E8" w:rsidRPr="00BF65E8">
        <w:rPr>
          <w:rStyle w:val="FontStyle51"/>
          <w:sz w:val="24"/>
          <w:szCs w:val="24"/>
        </w:rPr>
        <w:t>199</w:t>
      </w:r>
      <w:r w:rsidR="00BF65E8">
        <w:rPr>
          <w:rStyle w:val="FontStyle51"/>
          <w:sz w:val="24"/>
          <w:szCs w:val="24"/>
        </w:rPr>
        <w:t xml:space="preserve"> </w:t>
      </w:r>
      <w:r w:rsidR="00BF65E8" w:rsidRPr="00BF65E8">
        <w:rPr>
          <w:rStyle w:val="FontStyle51"/>
          <w:sz w:val="24"/>
          <w:szCs w:val="24"/>
        </w:rPr>
        <w:t>415  (сто девяносто</w:t>
      </w:r>
      <w:r w:rsidR="00BF65E8" w:rsidRPr="00BF65E8">
        <w:rPr>
          <w:rStyle w:val="FontStyle51"/>
          <w:b/>
          <w:sz w:val="24"/>
          <w:szCs w:val="24"/>
        </w:rPr>
        <w:t xml:space="preserve"> </w:t>
      </w:r>
      <w:r w:rsidR="00BF65E8" w:rsidRPr="00BF65E8">
        <w:rPr>
          <w:rStyle w:val="FontStyle51"/>
          <w:sz w:val="24"/>
          <w:szCs w:val="24"/>
        </w:rPr>
        <w:lastRenderedPageBreak/>
        <w:t>девять  тысяч  четыреста пятнадцать) рублей  05  копеек</w:t>
      </w:r>
      <w:r w:rsidR="00BF65E8" w:rsidRPr="00BF65E8">
        <w:rPr>
          <w:rStyle w:val="FontStyle51"/>
          <w:b/>
          <w:sz w:val="24"/>
          <w:szCs w:val="24"/>
        </w:rPr>
        <w:t xml:space="preserve"> </w:t>
      </w:r>
      <w:r w:rsidR="00BF65E8" w:rsidRPr="00BF65E8">
        <w:rPr>
          <w:kern w:val="16"/>
        </w:rPr>
        <w:t xml:space="preserve"> </w:t>
      </w:r>
      <w:r w:rsidRPr="00BF65E8">
        <w:rPr>
          <w:kern w:val="16"/>
        </w:rPr>
        <w:t>(5 % процентов начальной (максимальной) цены контракта).</w:t>
      </w:r>
    </w:p>
    <w:p w:rsidR="00EC6DE1" w:rsidRDefault="004416E6" w:rsidP="00B62F10">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proofErr w:type="gramStart"/>
      <w:r w:rsidRPr="004416E6">
        <w:rPr>
          <w:rFonts w:ascii="Times New Roman" w:hAnsi="Times New Roman" w:cs="Times New Roman"/>
          <w:kern w:val="16"/>
          <w:sz w:val="24"/>
          <w:szCs w:val="24"/>
        </w:rPr>
        <w:t xml:space="preserve">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BF65E8">
        <w:rPr>
          <w:rFonts w:ascii="Times New Roman" w:hAnsi="Times New Roman" w:cs="Times New Roman"/>
          <w:kern w:val="16"/>
          <w:sz w:val="24"/>
          <w:szCs w:val="24"/>
        </w:rPr>
        <w:t>299 122 (двести девяносто девять тысяч сто двадцать два) рубля 58 копеек.</w:t>
      </w:r>
      <w:proofErr w:type="gramEnd"/>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416E6" w:rsidRPr="004416E6" w:rsidRDefault="004416E6" w:rsidP="004416E6">
      <w:pPr>
        <w:pStyle w:val="11"/>
        <w:numPr>
          <w:ilvl w:val="0"/>
          <w:numId w:val="2"/>
        </w:numPr>
        <w:tabs>
          <w:tab w:val="left" w:pos="426"/>
        </w:tabs>
        <w:contextualSpacing/>
        <w:jc w:val="center"/>
        <w:rPr>
          <w:b/>
        </w:rPr>
      </w:pPr>
      <w:r w:rsidRPr="004416E6">
        <w:rPr>
          <w:b/>
        </w:rPr>
        <w:lastRenderedPageBreak/>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д</w:t>
      </w:r>
      <w:proofErr w:type="spellEnd"/>
      <w:r w:rsidRPr="004416E6">
        <w:rPr>
          <w:color w:val="000000"/>
        </w:rPr>
        <w:t>)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з</w:t>
      </w:r>
      <w:proofErr w:type="spellEnd"/>
      <w:r w:rsidRPr="004416E6">
        <w:rPr>
          <w:color w:val="000000"/>
        </w:rPr>
        <w:t>)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 xml:space="preserve">положений бюджетного </w:t>
      </w:r>
      <w:r w:rsidRPr="004416E6">
        <w:rPr>
          <w:rFonts w:ascii="Times New Roman" w:hAnsi="Times New Roman" w:cs="Times New Roman"/>
          <w:sz w:val="24"/>
          <w:szCs w:val="24"/>
        </w:rPr>
        <w:lastRenderedPageBreak/>
        <w:t>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Локальная смета</w:t>
      </w:r>
    </w:p>
    <w:p w:rsidR="008542F6" w:rsidRPr="008542F6" w:rsidRDefault="008542F6" w:rsidP="00391905">
      <w:pPr>
        <w:pStyle w:val="a3"/>
        <w:spacing w:after="0"/>
        <w:ind w:hanging="357"/>
        <w:jc w:val="center"/>
        <w:rPr>
          <w:b/>
          <w:szCs w:val="24"/>
        </w:rPr>
      </w:pPr>
    </w:p>
    <w:p w:rsidR="008542F6" w:rsidRPr="008542F6" w:rsidRDefault="008542F6" w:rsidP="008542F6">
      <w:pPr>
        <w:spacing w:after="0"/>
        <w:jc w:val="center"/>
        <w:rPr>
          <w:rFonts w:ascii="Times New Roman" w:hAnsi="Times New Roman" w:cs="Times New Roman"/>
          <w:sz w:val="24"/>
          <w:szCs w:val="24"/>
        </w:rPr>
      </w:pPr>
      <w:r w:rsidRPr="008542F6">
        <w:rPr>
          <w:rFonts w:ascii="Times New Roman" w:hAnsi="Times New Roman" w:cs="Times New Roman"/>
          <w:sz w:val="24"/>
          <w:szCs w:val="24"/>
        </w:rPr>
        <w:t xml:space="preserve">на выполнение работ по восстановлению линий наружного освещения </w:t>
      </w:r>
    </w:p>
    <w:p w:rsidR="008542F6" w:rsidRDefault="008542F6" w:rsidP="008542F6">
      <w:pPr>
        <w:spacing w:after="0"/>
        <w:jc w:val="center"/>
        <w:rPr>
          <w:rFonts w:ascii="Times New Roman" w:hAnsi="Times New Roman" w:cs="Times New Roman"/>
          <w:sz w:val="24"/>
          <w:szCs w:val="24"/>
        </w:rPr>
      </w:pPr>
      <w:r w:rsidRPr="008542F6">
        <w:rPr>
          <w:rFonts w:ascii="Times New Roman" w:hAnsi="Times New Roman" w:cs="Times New Roman"/>
          <w:sz w:val="24"/>
          <w:szCs w:val="24"/>
        </w:rPr>
        <w:t>в городе Рубцовске в 2018 году</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143" w:rsidRDefault="00676143" w:rsidP="00667F7E">
      <w:pPr>
        <w:spacing w:after="0" w:line="240" w:lineRule="auto"/>
      </w:pPr>
      <w:r>
        <w:separator/>
      </w:r>
    </w:p>
  </w:endnote>
  <w:endnote w:type="continuationSeparator" w:id="1">
    <w:p w:rsidR="00676143" w:rsidRDefault="00676143"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143" w:rsidRDefault="00676143" w:rsidP="00667F7E">
      <w:pPr>
        <w:spacing w:after="0" w:line="240" w:lineRule="auto"/>
      </w:pPr>
      <w:r>
        <w:separator/>
      </w:r>
    </w:p>
  </w:footnote>
  <w:footnote w:type="continuationSeparator" w:id="1">
    <w:p w:rsidR="00676143" w:rsidRDefault="00676143"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AD6E4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171D3"/>
    <w:rsid w:val="00024273"/>
    <w:rsid w:val="00037AA4"/>
    <w:rsid w:val="0008474A"/>
    <w:rsid w:val="00157B94"/>
    <w:rsid w:val="00176ED8"/>
    <w:rsid w:val="001C1AB7"/>
    <w:rsid w:val="00247191"/>
    <w:rsid w:val="00290A14"/>
    <w:rsid w:val="002D650A"/>
    <w:rsid w:val="003443DE"/>
    <w:rsid w:val="00391905"/>
    <w:rsid w:val="003A2108"/>
    <w:rsid w:val="003D444B"/>
    <w:rsid w:val="004416E6"/>
    <w:rsid w:val="0045278E"/>
    <w:rsid w:val="004D1C1D"/>
    <w:rsid w:val="00532934"/>
    <w:rsid w:val="0054019A"/>
    <w:rsid w:val="005660B5"/>
    <w:rsid w:val="005E2203"/>
    <w:rsid w:val="005F4004"/>
    <w:rsid w:val="00657119"/>
    <w:rsid w:val="00667F7E"/>
    <w:rsid w:val="00676143"/>
    <w:rsid w:val="00697C80"/>
    <w:rsid w:val="007A65C4"/>
    <w:rsid w:val="007F7317"/>
    <w:rsid w:val="00806AB6"/>
    <w:rsid w:val="00835666"/>
    <w:rsid w:val="008542F6"/>
    <w:rsid w:val="008D6158"/>
    <w:rsid w:val="009E5424"/>
    <w:rsid w:val="00A02F2C"/>
    <w:rsid w:val="00B62F10"/>
    <w:rsid w:val="00BF65E8"/>
    <w:rsid w:val="00C1672C"/>
    <w:rsid w:val="00C3326D"/>
    <w:rsid w:val="00C67D51"/>
    <w:rsid w:val="00D106DB"/>
    <w:rsid w:val="00D55C6D"/>
    <w:rsid w:val="00D577EC"/>
    <w:rsid w:val="00E12F89"/>
    <w:rsid w:val="00E2423E"/>
    <w:rsid w:val="00E77FEB"/>
    <w:rsid w:val="00EA7E0B"/>
    <w:rsid w:val="00EC6DE1"/>
    <w:rsid w:val="00F27DCA"/>
    <w:rsid w:val="00F8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5463</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31</cp:revision>
  <cp:lastPrinted>2018-05-22T04:19:00Z</cp:lastPrinted>
  <dcterms:created xsi:type="dcterms:W3CDTF">2018-05-14T08:35:00Z</dcterms:created>
  <dcterms:modified xsi:type="dcterms:W3CDTF">2018-05-23T02:56:00Z</dcterms:modified>
</cp:coreProperties>
</file>