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4782CEF9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2</w:t>
      </w:r>
    </w:p>
    <w:p w14:paraId="65983B9D" w14:textId="1DACD5D1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8214DC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928032D" w14:textId="77777777" w:rsidR="00176A7F" w:rsidRPr="00176A7F" w:rsidRDefault="00176A7F" w:rsidP="00176A7F">
      <w:pPr>
        <w:tabs>
          <w:tab w:val="left" w:pos="30"/>
          <w:tab w:val="left" w:pos="1276"/>
        </w:tabs>
        <w:spacing w:before="40" w:after="0"/>
        <w:ind w:left="33" w:right="-28"/>
        <w:jc w:val="center"/>
        <w:rPr>
          <w:b/>
        </w:rPr>
      </w:pPr>
      <w:r w:rsidRPr="00176A7F">
        <w:rPr>
          <w:b/>
        </w:rPr>
        <w:t>Протокол</w:t>
      </w:r>
    </w:p>
    <w:p w14:paraId="7F0E9F99" w14:textId="77777777" w:rsidR="00176A7F" w:rsidRPr="00176A7F" w:rsidRDefault="00176A7F" w:rsidP="00176A7F">
      <w:pPr>
        <w:tabs>
          <w:tab w:val="left" w:pos="30"/>
          <w:tab w:val="left" w:pos="1276"/>
        </w:tabs>
        <w:spacing w:before="40" w:after="0"/>
        <w:ind w:left="33" w:right="-28"/>
        <w:jc w:val="center"/>
        <w:rPr>
          <w:b/>
        </w:rPr>
      </w:pPr>
      <w:r w:rsidRPr="00176A7F">
        <w:rPr>
          <w:b/>
        </w:rPr>
        <w:t>начальной (максимальной) цены контракта</w:t>
      </w:r>
    </w:p>
    <w:p w14:paraId="6F0DB102" w14:textId="77777777" w:rsidR="00176A7F" w:rsidRPr="00176A7F" w:rsidRDefault="00176A7F" w:rsidP="00176A7F">
      <w:pPr>
        <w:tabs>
          <w:tab w:val="left" w:pos="30"/>
          <w:tab w:val="left" w:pos="1276"/>
        </w:tabs>
        <w:spacing w:before="40" w:after="0"/>
        <w:ind w:left="33" w:right="-28"/>
        <w:jc w:val="left"/>
        <w:rPr>
          <w:b/>
        </w:rPr>
      </w:pPr>
    </w:p>
    <w:p w14:paraId="7B4C8073" w14:textId="2E12608F" w:rsidR="00176A7F" w:rsidRPr="00176A7F" w:rsidRDefault="00176A7F" w:rsidP="00637328">
      <w:pPr>
        <w:spacing w:after="0"/>
        <w:ind w:right="57"/>
      </w:pPr>
      <w:r w:rsidRPr="00176A7F">
        <w:t xml:space="preserve">Объект </w:t>
      </w:r>
      <w:r w:rsidRPr="00637328">
        <w:t xml:space="preserve">закупки: </w:t>
      </w:r>
      <w:r w:rsidRPr="008214DC">
        <w:rPr>
          <w:spacing w:val="-10"/>
        </w:rPr>
        <w:t>«</w:t>
      </w:r>
      <w:r w:rsidR="008214DC" w:rsidRPr="008214DC">
        <w:rPr>
          <w:spacing w:val="-10"/>
        </w:rPr>
        <w:t>Выполнение работ по ремонту асфальтобетонного покрытия проезжей части участка кольцевого движения по Рабочему тракту в городе Рубцовске Алтайского края</w:t>
      </w:r>
      <w:r w:rsidRPr="008214DC">
        <w:rPr>
          <w:spacing w:val="-10"/>
        </w:rPr>
        <w:t>»</w:t>
      </w:r>
      <w:r w:rsidR="008214DC">
        <w:rPr>
          <w:spacing w:val="-10"/>
        </w:rPr>
        <w:t>.</w:t>
      </w:r>
    </w:p>
    <w:p w14:paraId="40E8BD2E" w14:textId="1AB99217" w:rsidR="00176A7F" w:rsidRPr="00176A7F" w:rsidRDefault="00176A7F" w:rsidP="00637328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/>
        <w:rPr>
          <w:spacing w:val="-10"/>
        </w:rPr>
      </w:pPr>
      <w:r w:rsidRPr="00176A7F">
        <w:t xml:space="preserve">Начальная (максимальная) цена контракта составляет </w:t>
      </w:r>
      <w:bookmarkStart w:id="0" w:name="OLE_LINK1"/>
      <w:r w:rsidR="008214DC">
        <w:t>2 349 103</w:t>
      </w:r>
      <w:r w:rsidR="00517A80" w:rsidRPr="00637328">
        <w:t xml:space="preserve"> </w:t>
      </w:r>
      <w:r w:rsidRPr="00176A7F">
        <w:t>(</w:t>
      </w:r>
      <w:r w:rsidR="008214DC">
        <w:t>Два</w:t>
      </w:r>
      <w:r w:rsidRPr="00176A7F">
        <w:rPr>
          <w:spacing w:val="-10"/>
        </w:rPr>
        <w:t xml:space="preserve"> миллион</w:t>
      </w:r>
      <w:r w:rsidR="008214DC">
        <w:rPr>
          <w:spacing w:val="-10"/>
        </w:rPr>
        <w:t>а</w:t>
      </w:r>
      <w:r w:rsidRPr="00176A7F">
        <w:rPr>
          <w:spacing w:val="-10"/>
        </w:rPr>
        <w:t xml:space="preserve"> </w:t>
      </w:r>
      <w:r w:rsidR="008214DC">
        <w:rPr>
          <w:spacing w:val="-10"/>
        </w:rPr>
        <w:t>триста сорок девять тысяч сто три</w:t>
      </w:r>
      <w:r w:rsidRPr="00176A7F">
        <w:rPr>
          <w:spacing w:val="-10"/>
        </w:rPr>
        <w:t xml:space="preserve">) рубля </w:t>
      </w:r>
      <w:r w:rsidR="008214DC">
        <w:rPr>
          <w:spacing w:val="-10"/>
        </w:rPr>
        <w:t>78</w:t>
      </w:r>
      <w:r w:rsidRPr="00176A7F">
        <w:rPr>
          <w:spacing w:val="-10"/>
        </w:rPr>
        <w:t xml:space="preserve"> копеек. </w:t>
      </w:r>
    </w:p>
    <w:bookmarkEnd w:id="0"/>
    <w:p w14:paraId="3BAE5BDD" w14:textId="41BAC395" w:rsidR="00176A7F" w:rsidRPr="00637328" w:rsidRDefault="00176A7F" w:rsidP="0063732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</w:pPr>
      <w:r w:rsidRPr="00176A7F">
        <w:t xml:space="preserve">Начальная (максимальная) цена контракта включает в себя расходы на перевозку, страхование, уплату налогов, сборов, на оплату работ по </w:t>
      </w:r>
      <w:r w:rsidRPr="00176A7F">
        <w:rPr>
          <w:lang w:eastAsia="ar-SA"/>
        </w:rPr>
        <w:t xml:space="preserve">уборке </w:t>
      </w:r>
      <w:r w:rsidRPr="00176A7F">
        <w:t>Объекта</w:t>
      </w:r>
      <w:r w:rsidRPr="00176A7F">
        <w:rPr>
          <w:lang w:eastAsia="ar-SA"/>
        </w:rPr>
        <w:t xml:space="preserve"> и вывозу мусора со строительной площадки </w:t>
      </w:r>
      <w:r w:rsidRPr="00176A7F">
        <w:t>и другие обязательные платежи, и иные расходы, связанные с выполнением работы.</w:t>
      </w:r>
    </w:p>
    <w:p w14:paraId="39A3EB2A" w14:textId="5C26481B" w:rsidR="00517A80" w:rsidRPr="00637328" w:rsidRDefault="00517A80" w:rsidP="0063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637328">
        <w:t>Приложение: Обоснование начальной (максимальной) цены контракта</w:t>
      </w:r>
      <w:r w:rsidR="008214DC">
        <w:t>.</w:t>
      </w:r>
    </w:p>
    <w:p w14:paraId="34EDF71B" w14:textId="77777777" w:rsidR="00517A80" w:rsidRPr="00176A7F" w:rsidRDefault="00517A80" w:rsidP="00176A7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left"/>
      </w:pPr>
    </w:p>
    <w:p w14:paraId="2B06F212" w14:textId="77777777" w:rsidR="00176A7F" w:rsidRPr="00176A7F" w:rsidRDefault="00176A7F" w:rsidP="00176A7F">
      <w:pPr>
        <w:spacing w:after="0" w:line="240" w:lineRule="exact"/>
        <w:ind w:left="5908"/>
        <w:jc w:val="left"/>
      </w:pPr>
    </w:p>
    <w:p w14:paraId="44816CA3" w14:textId="77777777" w:rsidR="00176A7F" w:rsidRPr="00176A7F" w:rsidRDefault="00176A7F" w:rsidP="00176A7F">
      <w:pPr>
        <w:spacing w:after="0" w:line="240" w:lineRule="exact"/>
        <w:ind w:left="5908"/>
        <w:jc w:val="right"/>
      </w:pPr>
    </w:p>
    <w:p w14:paraId="343189B9" w14:textId="77777777" w:rsidR="00176A7F" w:rsidRPr="00176A7F" w:rsidRDefault="00176A7F" w:rsidP="00176A7F">
      <w:pPr>
        <w:spacing w:after="0" w:line="240" w:lineRule="exact"/>
        <w:ind w:left="5908"/>
        <w:jc w:val="right"/>
      </w:pPr>
      <w:r w:rsidRPr="00176A7F">
        <w:t xml:space="preserve">Приложение </w:t>
      </w:r>
      <w:r w:rsidRPr="00176A7F">
        <w:br/>
        <w:t>к протоколу Н(М)ЦК контракта</w:t>
      </w:r>
    </w:p>
    <w:p w14:paraId="6B7D563F" w14:textId="77777777" w:rsidR="00176A7F" w:rsidRPr="00176A7F" w:rsidRDefault="00176A7F" w:rsidP="00176A7F">
      <w:pPr>
        <w:autoSpaceDE w:val="0"/>
        <w:autoSpaceDN w:val="0"/>
        <w:adjustRightInd w:val="0"/>
        <w:spacing w:before="40" w:after="0"/>
        <w:jc w:val="left"/>
        <w:rPr>
          <w:color w:val="000000"/>
          <w:lang w:eastAsia="en-US"/>
        </w:rPr>
      </w:pPr>
    </w:p>
    <w:p w14:paraId="42629923" w14:textId="77777777" w:rsidR="00176A7F" w:rsidRPr="00176A7F" w:rsidRDefault="00176A7F" w:rsidP="00176A7F">
      <w:pPr>
        <w:autoSpaceDE w:val="0"/>
        <w:autoSpaceDN w:val="0"/>
        <w:adjustRightInd w:val="0"/>
        <w:spacing w:before="40" w:after="0"/>
        <w:jc w:val="center"/>
        <w:rPr>
          <w:b/>
          <w:color w:val="000000"/>
          <w:lang w:eastAsia="en-US"/>
        </w:rPr>
      </w:pPr>
      <w:r w:rsidRPr="00176A7F">
        <w:rPr>
          <w:b/>
          <w:color w:val="000000"/>
          <w:lang w:eastAsia="en-US"/>
        </w:rPr>
        <w:t>Обоснование начальной (максимальной) цены контракта</w:t>
      </w:r>
    </w:p>
    <w:p w14:paraId="5B999D11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</w:p>
    <w:p w14:paraId="2F2B8EB6" w14:textId="77777777" w:rsidR="00176A7F" w:rsidRPr="00176A7F" w:rsidRDefault="00176A7F" w:rsidP="0063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176A7F">
        <w:t xml:space="preserve">Метод определения: проектно-сметный метод. </w:t>
      </w:r>
    </w:p>
    <w:p w14:paraId="350EA76C" w14:textId="5483A926" w:rsidR="00176A7F" w:rsidRPr="00176A7F" w:rsidRDefault="00176A7F" w:rsidP="0063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outlineLvl w:val="0"/>
      </w:pPr>
      <w:r w:rsidRPr="00176A7F">
        <w:t>Обоснование: на основании ч. 9</w:t>
      </w:r>
      <w:r w:rsidR="004E6B2A">
        <w:t>.1</w:t>
      </w:r>
      <w:r w:rsidRPr="00176A7F">
        <w:t xml:space="preserve">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14:paraId="0E39A2C5" w14:textId="389A1B88" w:rsidR="00176A7F" w:rsidRPr="00176A7F" w:rsidRDefault="00176A7F" w:rsidP="00637328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/>
      </w:pPr>
      <w:r w:rsidRPr="00176A7F">
        <w:t>Начальная (максимальная) цена контракта, сформирована на основании локальной сметы в ценах 4 кв. 20</w:t>
      </w:r>
      <w:r w:rsidR="008214DC">
        <w:t>19</w:t>
      </w:r>
      <w:r w:rsidRPr="00176A7F">
        <w:t xml:space="preserve"> года с учетом применения индексов-дефляторов и с учетом доведенных заказчику лимитов бюджетных ассигнований составляет </w:t>
      </w:r>
      <w:r w:rsidR="008214DC">
        <w:t>2 349 103</w:t>
      </w:r>
      <w:r w:rsidR="008214DC" w:rsidRPr="00637328">
        <w:t xml:space="preserve"> </w:t>
      </w:r>
      <w:r w:rsidR="008214DC" w:rsidRPr="00176A7F">
        <w:t>(</w:t>
      </w:r>
      <w:r w:rsidR="008214DC">
        <w:t>Два</w:t>
      </w:r>
      <w:r w:rsidR="008214DC" w:rsidRPr="00176A7F">
        <w:rPr>
          <w:spacing w:val="-10"/>
        </w:rPr>
        <w:t xml:space="preserve"> миллион</w:t>
      </w:r>
      <w:r w:rsidR="008214DC">
        <w:rPr>
          <w:spacing w:val="-10"/>
        </w:rPr>
        <w:t>а</w:t>
      </w:r>
      <w:r w:rsidR="008214DC" w:rsidRPr="00176A7F">
        <w:rPr>
          <w:spacing w:val="-10"/>
        </w:rPr>
        <w:t xml:space="preserve"> </w:t>
      </w:r>
      <w:r w:rsidR="008214DC">
        <w:rPr>
          <w:spacing w:val="-10"/>
        </w:rPr>
        <w:t>триста сорок девять тысяч сто три</w:t>
      </w:r>
      <w:r w:rsidR="008214DC" w:rsidRPr="00176A7F">
        <w:rPr>
          <w:spacing w:val="-10"/>
        </w:rPr>
        <w:t xml:space="preserve">) рубля </w:t>
      </w:r>
      <w:r w:rsidR="008214DC">
        <w:rPr>
          <w:spacing w:val="-10"/>
        </w:rPr>
        <w:t>78</w:t>
      </w:r>
      <w:r w:rsidR="008214DC" w:rsidRPr="00176A7F">
        <w:rPr>
          <w:spacing w:val="-10"/>
        </w:rPr>
        <w:t xml:space="preserve"> копеек</w:t>
      </w:r>
      <w:r w:rsidR="00637328">
        <w:rPr>
          <w:spacing w:val="-10"/>
        </w:rPr>
        <w:t xml:space="preserve"> </w:t>
      </w:r>
      <w:r w:rsidRPr="00176A7F">
        <w:t>(Расчет Н(М)ЦК прилагается).</w:t>
      </w:r>
    </w:p>
    <w:p w14:paraId="54260C73" w14:textId="2E8B0D1B" w:rsidR="00176A7F" w:rsidRPr="00176A7F" w:rsidRDefault="00176A7F" w:rsidP="00637328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/>
        <w:rPr>
          <w:spacing w:val="-10"/>
        </w:rPr>
      </w:pPr>
      <w:r w:rsidRPr="00176A7F">
        <w:t xml:space="preserve">НМЦК принимается в размере </w:t>
      </w:r>
      <w:r w:rsidR="00824112">
        <w:t>2 349 103</w:t>
      </w:r>
      <w:r w:rsidR="00824112" w:rsidRPr="00637328">
        <w:t xml:space="preserve"> </w:t>
      </w:r>
      <w:r w:rsidR="00824112" w:rsidRPr="00176A7F">
        <w:t>(</w:t>
      </w:r>
      <w:r w:rsidR="00824112">
        <w:t>Два</w:t>
      </w:r>
      <w:r w:rsidR="00824112" w:rsidRPr="00176A7F">
        <w:rPr>
          <w:spacing w:val="-10"/>
        </w:rPr>
        <w:t xml:space="preserve"> миллион</w:t>
      </w:r>
      <w:r w:rsidR="00824112">
        <w:rPr>
          <w:spacing w:val="-10"/>
        </w:rPr>
        <w:t>а</w:t>
      </w:r>
      <w:r w:rsidR="00824112" w:rsidRPr="00176A7F">
        <w:rPr>
          <w:spacing w:val="-10"/>
        </w:rPr>
        <w:t xml:space="preserve"> </w:t>
      </w:r>
      <w:r w:rsidR="00824112">
        <w:rPr>
          <w:spacing w:val="-10"/>
        </w:rPr>
        <w:t>триста сорок девять тысяч сто три</w:t>
      </w:r>
      <w:r w:rsidR="00824112" w:rsidRPr="00176A7F">
        <w:rPr>
          <w:spacing w:val="-10"/>
        </w:rPr>
        <w:t xml:space="preserve">) рубля </w:t>
      </w:r>
      <w:r w:rsidR="00824112">
        <w:rPr>
          <w:spacing w:val="-10"/>
        </w:rPr>
        <w:t>78</w:t>
      </w:r>
      <w:r w:rsidR="00824112" w:rsidRPr="00176A7F">
        <w:rPr>
          <w:spacing w:val="-10"/>
        </w:rPr>
        <w:t xml:space="preserve"> копеек</w:t>
      </w:r>
      <w:r w:rsidRPr="00176A7F">
        <w:rPr>
          <w:spacing w:val="-10"/>
        </w:rPr>
        <w:t xml:space="preserve">. </w:t>
      </w:r>
    </w:p>
    <w:p w14:paraId="52B86A0C" w14:textId="77777777" w:rsidR="00176A7F" w:rsidRPr="00176A7F" w:rsidRDefault="00176A7F" w:rsidP="00176A7F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/>
        <w:jc w:val="left"/>
        <w:rPr>
          <w:spacing w:val="-10"/>
          <w:sz w:val="28"/>
          <w:szCs w:val="28"/>
        </w:rPr>
      </w:pPr>
    </w:p>
    <w:p w14:paraId="4CA93F35" w14:textId="6C412318" w:rsidR="00176A7F" w:rsidRPr="00176A7F" w:rsidRDefault="00176A7F" w:rsidP="00176A7F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/>
        <w:jc w:val="left"/>
      </w:pPr>
    </w:p>
    <w:p w14:paraId="1F36B34B" w14:textId="77777777" w:rsidR="00882785" w:rsidRDefault="00882785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</w:p>
    <w:p w14:paraId="744906B5" w14:textId="77777777" w:rsidR="00882785" w:rsidRDefault="00882785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</w:p>
    <w:p w14:paraId="13EAAA6D" w14:textId="108909C8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  <w:r w:rsidRPr="00176A7F">
        <w:t>Приложение</w:t>
      </w:r>
    </w:p>
    <w:p w14:paraId="2C98C6BB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  <w:r w:rsidRPr="00176A7F">
        <w:t>к обоснованию Н(М)ЦК контракта</w:t>
      </w:r>
    </w:p>
    <w:p w14:paraId="7C0CB112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</w:p>
    <w:p w14:paraId="0DF20823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  <w:r w:rsidRPr="00176A7F">
        <w:rPr>
          <w:b/>
        </w:rPr>
        <w:t>Расчет начальной (максимальной) цены контракта по объекту:</w:t>
      </w:r>
    </w:p>
    <w:p w14:paraId="192EDF4A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</w:p>
    <w:p w14:paraId="3CF72AE9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  <w:r w:rsidRPr="00176A7F">
        <w:tab/>
      </w:r>
    </w:p>
    <w:p w14:paraId="71361458" w14:textId="77777777" w:rsidR="00176A7F" w:rsidRPr="00176A7F" w:rsidRDefault="00176A7F" w:rsidP="0074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176A7F">
        <w:t xml:space="preserve">    Основания для расчета:</w:t>
      </w:r>
    </w:p>
    <w:p w14:paraId="70AA88F5" w14:textId="6FAFB939" w:rsidR="00A6014E" w:rsidRPr="00A6014E" w:rsidRDefault="00176A7F" w:rsidP="00740120">
      <w:r w:rsidRPr="00176A7F">
        <w:t xml:space="preserve">    </w:t>
      </w:r>
      <w:r w:rsidR="00882785">
        <w:tab/>
      </w:r>
      <w:r w:rsidRPr="00176A7F">
        <w:t xml:space="preserve">1.  Локальный сметный расчет </w:t>
      </w:r>
      <w:r w:rsidR="00882785">
        <w:t>№ 01-</w:t>
      </w:r>
      <w:r w:rsidR="00E21FA4">
        <w:t>0</w:t>
      </w:r>
      <w:r w:rsidR="00824112">
        <w:t>4-01</w:t>
      </w:r>
      <w:r w:rsidR="00E21FA4">
        <w:t xml:space="preserve"> </w:t>
      </w:r>
      <w:r w:rsidR="00E21FA4" w:rsidRPr="00176A7F">
        <w:t>на</w:t>
      </w:r>
      <w:r w:rsidR="00882785">
        <w:t xml:space="preserve"> в</w:t>
      </w:r>
      <w:r w:rsidR="00882785" w:rsidRPr="00176A7F">
        <w:t xml:space="preserve">ыполнение работ по ремонту </w:t>
      </w:r>
      <w:r w:rsidR="00824112">
        <w:t>асфальтобетонного покрытия проезжей части участка кольцевого движения по Рабочему тракту в городе Рубцовске Алтайского края</w:t>
      </w:r>
      <w:r w:rsidR="00A6014E">
        <w:t xml:space="preserve"> </w:t>
      </w:r>
      <w:r w:rsidR="00A6014E" w:rsidRPr="00A6014E">
        <w:t>(находится в списке документов закупки, доступных для загрузки в единой информационной системе в сфере закупок по адресу: www.zakupki.gov.ru)</w:t>
      </w:r>
      <w:r w:rsidR="00740120">
        <w:t>.</w:t>
      </w:r>
    </w:p>
    <w:p w14:paraId="080B5E3E" w14:textId="59551BD5" w:rsidR="00882785" w:rsidRPr="00176A7F" w:rsidRDefault="00882785" w:rsidP="0088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</w:p>
    <w:p w14:paraId="42B75CCB" w14:textId="372B2DF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</w:p>
    <w:p w14:paraId="0F6FB616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  <w:r w:rsidRPr="00176A7F">
        <w:t xml:space="preserve">(руб.)                                                                    </w:t>
      </w:r>
    </w:p>
    <w:p w14:paraId="0A70E5AA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vanish/>
        </w:rPr>
      </w:pPr>
    </w:p>
    <w:p w14:paraId="28274F66" w14:textId="77777777" w:rsidR="00176A7F" w:rsidRPr="00176A7F" w:rsidRDefault="00176A7F" w:rsidP="0017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6"/>
        <w:gridCol w:w="9563"/>
      </w:tblGrid>
      <w:tr w:rsidR="00176A7F" w:rsidRPr="00176A7F" w14:paraId="1D9DEFA2" w14:textId="77777777" w:rsidTr="00176A7F">
        <w:trPr>
          <w:gridAfter w:val="1"/>
          <w:wAfter w:w="9518" w:type="dxa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DCF14" w14:textId="77777777" w:rsidR="00176A7F" w:rsidRPr="00176A7F" w:rsidRDefault="00176A7F" w:rsidP="00176A7F">
            <w:pPr>
              <w:spacing w:after="0"/>
              <w:jc w:val="left"/>
              <w:rPr>
                <w:vanish/>
              </w:rPr>
            </w:pPr>
          </w:p>
        </w:tc>
      </w:tr>
      <w:tr w:rsidR="00176A7F" w:rsidRPr="00176A7F" w14:paraId="275B5D86" w14:textId="77777777" w:rsidTr="00E21FA4">
        <w:trPr>
          <w:tblCellSpacing w:w="15" w:type="dxa"/>
        </w:trPr>
        <w:tc>
          <w:tcPr>
            <w:tcW w:w="96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9342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040"/>
              <w:gridCol w:w="1518"/>
              <w:gridCol w:w="1369"/>
              <w:gridCol w:w="1687"/>
              <w:gridCol w:w="1304"/>
              <w:gridCol w:w="1671"/>
            </w:tblGrid>
            <w:tr w:rsidR="00BF0894" w14:paraId="7F71319C" w14:textId="77777777" w:rsidTr="00BF0894">
              <w:trPr>
                <w:tblCellSpacing w:w="15" w:type="dxa"/>
              </w:trPr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33A677" w14:textId="77777777" w:rsidR="00BF0894" w:rsidRDefault="00BF0894" w:rsidP="00BF0894">
                  <w:r>
                    <w:t>Наименование работ и затрат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85E77E" w14:textId="77777777" w:rsidR="00BF0894" w:rsidRDefault="00BF0894" w:rsidP="00BF0894">
                  <w:r>
                    <w:t xml:space="preserve">Стоимость работ в ценах на дату утверждения сметной документации на </w:t>
                  </w:r>
                  <w:r>
                    <w:rPr>
                      <w:lang w:val="en-US"/>
                    </w:rPr>
                    <w:t>IV</w:t>
                  </w:r>
                  <w:r>
                    <w:t xml:space="preserve"> квартал 2019 года 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0E9276" w14:textId="77777777" w:rsidR="00BF0894" w:rsidRDefault="00BF0894" w:rsidP="00BF0894">
                  <w:r>
                    <w:t>Индекс фактической инфляции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156980" w14:textId="77777777" w:rsidR="00BF0894" w:rsidRDefault="00BF0894" w:rsidP="00BF0894">
                  <w:r>
                    <w:t xml:space="preserve">Стоимость работ в ценах на дату формирования начальной (максимальной) цены контракта январь 2022 года 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7D028E" w14:textId="77777777" w:rsidR="00BF0894" w:rsidRDefault="00BF0894" w:rsidP="00BF0894">
                  <w:r>
                    <w:t>Индекс прогнозный инфляции на период выполнения работ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D7DE20" w14:textId="77777777" w:rsidR="00BF0894" w:rsidRDefault="00BF0894" w:rsidP="00BF0894">
                  <w:r>
                    <w:t>Начальная (максимальная) цена контракта с учетом индекса прогнозной инфляции на период выполнения работ</w:t>
                  </w:r>
                </w:p>
              </w:tc>
            </w:tr>
            <w:tr w:rsidR="00BF0894" w14:paraId="2F4B4F9B" w14:textId="77777777" w:rsidTr="00BF0894">
              <w:trPr>
                <w:tblCellSpacing w:w="15" w:type="dxa"/>
              </w:trPr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893285" w14:textId="77777777" w:rsidR="00BF0894" w:rsidRDefault="00BF0894" w:rsidP="00BF089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E63F41B" w14:textId="77777777" w:rsidR="00BF0894" w:rsidRDefault="00BF0894" w:rsidP="00BF089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9876D8" w14:textId="77777777" w:rsidR="00BF0894" w:rsidRDefault="00BF0894" w:rsidP="00BF089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13F771" w14:textId="77777777" w:rsidR="00BF0894" w:rsidRDefault="00BF0894" w:rsidP="00BF089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085BA8" w14:textId="77777777" w:rsidR="00BF0894" w:rsidRDefault="00BF0894" w:rsidP="00BF089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B0F8F2" w14:textId="77777777" w:rsidR="00BF0894" w:rsidRDefault="00BF0894" w:rsidP="00BF0894">
                  <w:pPr>
                    <w:jc w:val="center"/>
                  </w:pPr>
                  <w:r>
                    <w:t>6</w:t>
                  </w:r>
                </w:p>
              </w:tc>
            </w:tr>
            <w:tr w:rsidR="00BF0894" w14:paraId="6DCE7158" w14:textId="77777777" w:rsidTr="00BF0894">
              <w:trPr>
                <w:tblCellSpacing w:w="15" w:type="dxa"/>
              </w:trPr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39BFCD" w14:textId="77777777" w:rsidR="00BF0894" w:rsidRDefault="00BF0894" w:rsidP="00BF0894">
                  <w:r>
                    <w:t>Ремонт асфальтобетонного покрытия проезжей части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801B26" w14:textId="77777777" w:rsidR="00BF0894" w:rsidRDefault="00BF0894" w:rsidP="00BF0894">
                  <w:pPr>
                    <w:tabs>
                      <w:tab w:val="center" w:pos="731"/>
                      <w:tab w:val="right" w:pos="1463"/>
                    </w:tabs>
                  </w:pPr>
                  <w:r>
                    <w:t xml:space="preserve">   1 669 277</w:t>
                  </w:r>
                  <w:r>
                    <w:tab/>
                    <w:t xml:space="preserve"> </w:t>
                  </w:r>
                </w:p>
                <w:p w14:paraId="369E6E6D" w14:textId="77777777" w:rsidR="00BF0894" w:rsidRDefault="00BF0894" w:rsidP="00BF0894"/>
                <w:p w14:paraId="76FF1B8B" w14:textId="77777777" w:rsidR="00BF0894" w:rsidRDefault="00BF0894" w:rsidP="00BF0894">
                  <w:pPr>
                    <w:jc w:val="right"/>
                  </w:pPr>
                  <w:r>
                    <w:t xml:space="preserve">       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3D09C6E" w14:textId="77777777" w:rsidR="00BF0894" w:rsidRDefault="00BF0894" w:rsidP="00BF0894">
                  <w:pPr>
                    <w:jc w:val="center"/>
                  </w:pPr>
                  <w:r>
                    <w:t xml:space="preserve">1,14094 </w:t>
                  </w:r>
                </w:p>
                <w:p w14:paraId="650E0864" w14:textId="77777777" w:rsidR="00BF0894" w:rsidRDefault="00BF0894" w:rsidP="00BF0894">
                  <w:pPr>
                    <w:jc w:val="right"/>
                  </w:pPr>
                </w:p>
                <w:p w14:paraId="6664DBC3" w14:textId="77777777" w:rsidR="00BF0894" w:rsidRDefault="00BF0894" w:rsidP="00BF0894">
                  <w:pPr>
                    <w:jc w:val="center"/>
                  </w:pP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4FB636" w14:textId="77777777" w:rsidR="00BF0894" w:rsidRDefault="00BF0894" w:rsidP="00BF0894">
                  <w:pPr>
                    <w:jc w:val="center"/>
                  </w:pPr>
                  <w:r>
                    <w:t xml:space="preserve">1 904 544,90 </w:t>
                  </w:r>
                </w:p>
                <w:p w14:paraId="7B0DFE72" w14:textId="77777777" w:rsidR="00BF0894" w:rsidRDefault="00BF0894" w:rsidP="00BF0894">
                  <w:pPr>
                    <w:tabs>
                      <w:tab w:val="center" w:pos="1003"/>
                      <w:tab w:val="right" w:pos="2007"/>
                    </w:tabs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E74A88" w14:textId="77777777" w:rsidR="00BF0894" w:rsidRDefault="00BF0894" w:rsidP="00BF0894">
                  <w:pPr>
                    <w:tabs>
                      <w:tab w:val="left" w:pos="1200"/>
                    </w:tabs>
                    <w:jc w:val="center"/>
                  </w:pPr>
                  <w:r>
                    <w:t xml:space="preserve">1,02785 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232BA1" w14:textId="77777777" w:rsidR="00BF0894" w:rsidRDefault="00BF0894" w:rsidP="00BF0894">
                  <w:pPr>
                    <w:tabs>
                      <w:tab w:val="left" w:pos="315"/>
                      <w:tab w:val="left" w:pos="735"/>
                      <w:tab w:val="center" w:pos="801"/>
                      <w:tab w:val="right" w:pos="1603"/>
                    </w:tabs>
                    <w:jc w:val="center"/>
                  </w:pPr>
                  <w:r>
                    <w:t>1 957 586, 48</w:t>
                  </w:r>
                </w:p>
                <w:p w14:paraId="064DB2BB" w14:textId="77777777" w:rsidR="00BF0894" w:rsidRDefault="00BF0894" w:rsidP="00BF0894">
                  <w:pPr>
                    <w:jc w:val="center"/>
                  </w:pPr>
                </w:p>
              </w:tc>
            </w:tr>
            <w:tr w:rsidR="00BF0894" w14:paraId="328BC1B2" w14:textId="77777777" w:rsidTr="00BF0894">
              <w:trPr>
                <w:tblCellSpacing w:w="15" w:type="dxa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3DF2CC4" w14:textId="77777777" w:rsidR="00BF0894" w:rsidRDefault="00BF0894" w:rsidP="00BF0894"/>
                <w:p w14:paraId="43C50EFB" w14:textId="77777777" w:rsidR="00BF0894" w:rsidRDefault="00BF0894" w:rsidP="00BF0894">
                  <w:r>
                    <w:t xml:space="preserve">Стоимость без учета НДС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9DC7A5D" w14:textId="77777777" w:rsidR="00BF0894" w:rsidRDefault="00BF0894" w:rsidP="00BF0894">
                  <w:pPr>
                    <w:jc w:val="right"/>
                  </w:pPr>
                </w:p>
                <w:p w14:paraId="1A4F310E" w14:textId="77777777" w:rsidR="00BF0894" w:rsidRDefault="00BF0894" w:rsidP="00BF0894">
                  <w:pPr>
                    <w:jc w:val="center"/>
                  </w:pPr>
                  <w:r>
                    <w:t xml:space="preserve">1 669 277 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B19B5E2" w14:textId="77777777" w:rsidR="00BF0894" w:rsidRDefault="00BF0894" w:rsidP="00BF0894">
                  <w:pPr>
                    <w:jc w:val="right"/>
                  </w:pPr>
                </w:p>
              </w:tc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638A19" w14:textId="77777777" w:rsidR="00BF0894" w:rsidRDefault="00BF0894" w:rsidP="00BF0894">
                  <w:r>
                    <w:t xml:space="preserve"> </w:t>
                  </w:r>
                </w:p>
                <w:p w14:paraId="09B5C99C" w14:textId="77777777" w:rsidR="00BF0894" w:rsidRDefault="00BF0894" w:rsidP="00BF0894">
                  <w:pPr>
                    <w:tabs>
                      <w:tab w:val="left" w:pos="690"/>
                      <w:tab w:val="left" w:pos="900"/>
                      <w:tab w:val="center" w:pos="1003"/>
                    </w:tabs>
                    <w:jc w:val="center"/>
                  </w:pPr>
                  <w:r>
                    <w:t xml:space="preserve">1 904 544,90 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042810" w14:textId="77777777" w:rsidR="00BF0894" w:rsidRDefault="00BF0894" w:rsidP="00BF0894">
                  <w:pPr>
                    <w:jc w:val="center"/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819EBE" w14:textId="77777777" w:rsidR="00BF0894" w:rsidRDefault="00BF0894" w:rsidP="00BF0894">
                  <w:pPr>
                    <w:jc w:val="right"/>
                  </w:pPr>
                </w:p>
                <w:p w14:paraId="27B3A9F4" w14:textId="77777777" w:rsidR="00BF0894" w:rsidRDefault="00BF0894" w:rsidP="00BF0894">
                  <w:pPr>
                    <w:tabs>
                      <w:tab w:val="left" w:pos="315"/>
                      <w:tab w:val="left" w:pos="735"/>
                      <w:tab w:val="center" w:pos="801"/>
                      <w:tab w:val="right" w:pos="1603"/>
                    </w:tabs>
                    <w:jc w:val="center"/>
                  </w:pPr>
                  <w:r>
                    <w:t xml:space="preserve"> 1 957 586, 48 </w:t>
                  </w:r>
                </w:p>
              </w:tc>
            </w:tr>
            <w:tr w:rsidR="00BF0894" w14:paraId="2981A5BC" w14:textId="77777777" w:rsidTr="00BF0894">
              <w:trPr>
                <w:tblCellSpacing w:w="15" w:type="dxa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6928B27" w14:textId="77777777" w:rsidR="00BF0894" w:rsidRDefault="00BF0894" w:rsidP="00BF0894">
                  <w:pPr>
                    <w:tabs>
                      <w:tab w:val="left" w:pos="1245"/>
                    </w:tabs>
                  </w:pPr>
                  <w:r>
                    <w:t>НДС</w:t>
                  </w:r>
                </w:p>
                <w:p w14:paraId="2EF12791" w14:textId="77777777" w:rsidR="00BF0894" w:rsidRDefault="00BF0894" w:rsidP="00BF0894">
                  <w:pPr>
                    <w:tabs>
                      <w:tab w:val="left" w:pos="1245"/>
                    </w:tabs>
                  </w:pPr>
                  <w:r>
                    <w:t>НДС (20%)</w:t>
                  </w:r>
                </w:p>
                <w:p w14:paraId="7487BBB1" w14:textId="77777777" w:rsidR="00BF0894" w:rsidRDefault="00BF0894" w:rsidP="00BF0894"/>
                <w:p w14:paraId="16386339" w14:textId="77777777" w:rsidR="00BF0894" w:rsidRDefault="00BF0894" w:rsidP="00BF0894">
                  <w:pPr>
                    <w:ind w:firstLine="720"/>
                  </w:pPr>
                </w:p>
                <w:p w14:paraId="0C43472B" w14:textId="77777777" w:rsidR="00BF0894" w:rsidRDefault="00BF0894" w:rsidP="00BF0894">
                  <w:r>
                    <w:t>Стоимость с учетом НДС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C0DFEB6" w14:textId="77777777" w:rsidR="00BF0894" w:rsidRDefault="00BF0894" w:rsidP="00BF0894">
                  <w:pPr>
                    <w:tabs>
                      <w:tab w:val="center" w:pos="731"/>
                    </w:tabs>
                  </w:pPr>
                  <w:r>
                    <w:tab/>
                    <w:t xml:space="preserve"> </w:t>
                  </w:r>
                </w:p>
                <w:p w14:paraId="0FF1478A" w14:textId="77777777" w:rsidR="00BF0894" w:rsidRDefault="00BF0894" w:rsidP="00BF0894">
                  <w:pPr>
                    <w:jc w:val="center"/>
                  </w:pPr>
                  <w:r>
                    <w:t>333 855,4</w:t>
                  </w:r>
                </w:p>
                <w:p w14:paraId="36522E2F" w14:textId="77777777" w:rsidR="00BF0894" w:rsidRDefault="00BF0894" w:rsidP="00BF0894"/>
                <w:p w14:paraId="09C28BA2" w14:textId="77777777" w:rsidR="00BF0894" w:rsidRDefault="00BF0894" w:rsidP="00BF0894"/>
                <w:p w14:paraId="07736F11" w14:textId="77777777" w:rsidR="00BF0894" w:rsidRDefault="00BF0894" w:rsidP="00BF0894">
                  <w:r>
                    <w:t xml:space="preserve">  2 003 132,40</w:t>
                  </w:r>
                </w:p>
                <w:p w14:paraId="72788EE7" w14:textId="77777777" w:rsidR="00BF0894" w:rsidRDefault="00BF0894" w:rsidP="00BF0894">
                  <w:pPr>
                    <w:tabs>
                      <w:tab w:val="left" w:pos="315"/>
                      <w:tab w:val="center" w:pos="731"/>
                    </w:tabs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60F28CF" w14:textId="77777777" w:rsidR="00BF0894" w:rsidRDefault="00BF0894" w:rsidP="00BF0894">
                  <w:pPr>
                    <w:jc w:val="right"/>
                  </w:pPr>
                </w:p>
              </w:tc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9D4E76" w14:textId="77777777" w:rsidR="00BF0894" w:rsidRDefault="00BF0894" w:rsidP="00BF0894">
                  <w:pPr>
                    <w:tabs>
                      <w:tab w:val="left" w:pos="720"/>
                      <w:tab w:val="center" w:pos="1003"/>
                    </w:tabs>
                  </w:pPr>
                  <w:r>
                    <w:t xml:space="preserve">       </w:t>
                  </w:r>
                  <w:r>
                    <w:tab/>
                    <w:t xml:space="preserve"> </w:t>
                  </w:r>
                </w:p>
                <w:p w14:paraId="53D7E6B9" w14:textId="77777777" w:rsidR="00BF0894" w:rsidRDefault="00BF0894" w:rsidP="00BF0894">
                  <w:pPr>
                    <w:jc w:val="center"/>
                  </w:pPr>
                  <w:r>
                    <w:t>380 908,98</w:t>
                  </w:r>
                </w:p>
                <w:p w14:paraId="1CBB2997" w14:textId="77777777" w:rsidR="00BF0894" w:rsidRDefault="00BF0894" w:rsidP="00BF0894"/>
                <w:p w14:paraId="53374C4A" w14:textId="77777777" w:rsidR="00BF0894" w:rsidRDefault="00BF0894" w:rsidP="00BF0894">
                  <w:r>
                    <w:t xml:space="preserve">         </w:t>
                  </w:r>
                </w:p>
                <w:p w14:paraId="0B7682D6" w14:textId="77777777" w:rsidR="00BF0894" w:rsidRDefault="00BF0894" w:rsidP="00BF0894">
                  <w:pPr>
                    <w:jc w:val="center"/>
                  </w:pPr>
                  <w:r>
                    <w:t xml:space="preserve">  2 285 453,88 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85F7F3" w14:textId="77777777" w:rsidR="00BF0894" w:rsidRDefault="00BF0894" w:rsidP="00BF0894">
                  <w:pPr>
                    <w:jc w:val="center"/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860590" w14:textId="77777777" w:rsidR="00BF0894" w:rsidRDefault="00BF0894" w:rsidP="00BF0894">
                  <w:pPr>
                    <w:tabs>
                      <w:tab w:val="left" w:pos="510"/>
                      <w:tab w:val="center" w:pos="801"/>
                    </w:tabs>
                    <w:jc w:val="center"/>
                  </w:pPr>
                </w:p>
                <w:p w14:paraId="22902873" w14:textId="77777777" w:rsidR="00BF0894" w:rsidRDefault="00BF0894" w:rsidP="00BF0894">
                  <w:pPr>
                    <w:jc w:val="center"/>
                  </w:pPr>
                  <w:r>
                    <w:t>391 517,30</w:t>
                  </w:r>
                </w:p>
                <w:p w14:paraId="0F6C9407" w14:textId="77777777" w:rsidR="00BF0894" w:rsidRDefault="00BF0894" w:rsidP="00BF0894">
                  <w:pPr>
                    <w:jc w:val="center"/>
                  </w:pPr>
                </w:p>
                <w:p w14:paraId="537798A0" w14:textId="77777777" w:rsidR="00BF0894" w:rsidRDefault="00BF0894" w:rsidP="00BF0894">
                  <w:pPr>
                    <w:jc w:val="center"/>
                  </w:pPr>
                </w:p>
                <w:p w14:paraId="2E2701ED" w14:textId="77777777" w:rsidR="00BF0894" w:rsidRDefault="00BF0894" w:rsidP="00BF0894">
                  <w:pPr>
                    <w:tabs>
                      <w:tab w:val="center" w:pos="801"/>
                      <w:tab w:val="right" w:pos="1603"/>
                    </w:tabs>
                    <w:jc w:val="center"/>
                  </w:pPr>
                  <w:r>
                    <w:t>2 349 103,78</w:t>
                  </w:r>
                </w:p>
              </w:tc>
            </w:tr>
            <w:tr w:rsidR="00BF0894" w14:paraId="487E68CC" w14:textId="77777777" w:rsidTr="00BF0894">
              <w:trPr>
                <w:trHeight w:val="50"/>
                <w:tblCellSpacing w:w="15" w:type="dxa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DBFDF75" w14:textId="77777777" w:rsidR="00BF0894" w:rsidRDefault="00BF0894" w:rsidP="00BF0894"/>
              </w:tc>
              <w:tc>
                <w:tcPr>
                  <w:tcW w:w="14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EC7440" w14:textId="77777777" w:rsidR="00BF0894" w:rsidRDefault="00BF0894" w:rsidP="00BF0894"/>
              </w:tc>
              <w:tc>
                <w:tcPr>
                  <w:tcW w:w="13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E34B90E" w14:textId="77777777" w:rsidR="00BF0894" w:rsidRDefault="00BF0894" w:rsidP="00BF0894">
                  <w:pPr>
                    <w:jc w:val="right"/>
                  </w:pPr>
                </w:p>
              </w:tc>
              <w:tc>
                <w:tcPr>
                  <w:tcW w:w="16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AC2707" w14:textId="77777777" w:rsidR="00BF0894" w:rsidRDefault="00BF0894" w:rsidP="00BF0894"/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620252" w14:textId="77777777" w:rsidR="00BF0894" w:rsidRDefault="00BF0894" w:rsidP="00BF0894">
                  <w:pPr>
                    <w:jc w:val="center"/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4FFE844" w14:textId="77777777" w:rsidR="00BF0894" w:rsidRDefault="00BF0894" w:rsidP="00BF0894">
                  <w:pPr>
                    <w:tabs>
                      <w:tab w:val="center" w:pos="801"/>
                      <w:tab w:val="right" w:pos="1603"/>
                    </w:tabs>
                  </w:pPr>
                </w:p>
              </w:tc>
            </w:tr>
            <w:tr w:rsidR="00BF0894" w14:paraId="513B7C89" w14:textId="77777777" w:rsidTr="00BF0894">
              <w:trPr>
                <w:tblCellSpacing w:w="15" w:type="dxa"/>
              </w:trPr>
              <w:tc>
                <w:tcPr>
                  <w:tcW w:w="76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8729C2" w14:textId="77777777" w:rsidR="00BF0894" w:rsidRDefault="00BF0894" w:rsidP="00BF0894">
                  <w:r>
                    <w:t xml:space="preserve"> Н(М)ЦК с учетом доведенных лимитов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59D48A" w14:textId="77777777" w:rsidR="00BF0894" w:rsidRDefault="00BF0894" w:rsidP="00BF0894">
                  <w:pPr>
                    <w:tabs>
                      <w:tab w:val="center" w:pos="801"/>
                      <w:tab w:val="right" w:pos="1603"/>
                    </w:tabs>
                  </w:pPr>
                  <w:r>
                    <w:tab/>
                    <w:t xml:space="preserve">2 349 103,78  </w:t>
                  </w:r>
                </w:p>
              </w:tc>
            </w:tr>
          </w:tbl>
          <w:p w14:paraId="247BCEA0" w14:textId="77777777" w:rsidR="00176A7F" w:rsidRPr="00176A7F" w:rsidRDefault="00176A7F" w:rsidP="00E21FA4">
            <w:pPr>
              <w:spacing w:after="0"/>
            </w:pPr>
          </w:p>
          <w:p w14:paraId="3CB28314" w14:textId="1B96329B" w:rsidR="00176A7F" w:rsidRPr="00176A7F" w:rsidRDefault="00176A7F" w:rsidP="00E21FA4">
            <w:pPr>
              <w:spacing w:after="0"/>
            </w:pPr>
          </w:p>
        </w:tc>
      </w:tr>
    </w:tbl>
    <w:p w14:paraId="1BF12D45" w14:textId="1E148429" w:rsidR="00176A7F" w:rsidRDefault="00176A7F" w:rsidP="00E2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tbl>
      <w:tblPr>
        <w:tblW w:w="14660" w:type="dxa"/>
        <w:tblCellSpacing w:w="15" w:type="dxa"/>
        <w:tblLook w:val="04A0" w:firstRow="1" w:lastRow="0" w:firstColumn="1" w:lastColumn="0" w:noHBand="0" w:noVBand="1"/>
      </w:tblPr>
      <w:tblGrid>
        <w:gridCol w:w="14660"/>
      </w:tblGrid>
      <w:tr w:rsidR="00BF0894" w14:paraId="6803E7D9" w14:textId="77777777" w:rsidTr="00BF0894">
        <w:trPr>
          <w:tblCellSpacing w:w="15" w:type="dxa"/>
        </w:trPr>
        <w:tc>
          <w:tcPr>
            <w:tcW w:w="14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FD3FA" w14:textId="77777777" w:rsidR="00BF0894" w:rsidRDefault="00BF0894">
            <w:r>
              <w:t xml:space="preserve">Начало выполнения работ – май 2022 г. Окончание выполнения работ – сентябрь 2022 г. </w:t>
            </w:r>
          </w:p>
        </w:tc>
      </w:tr>
      <w:tr w:rsidR="00BF0894" w14:paraId="1ED77EA3" w14:textId="77777777" w:rsidTr="00BF0894">
        <w:trPr>
          <w:tblCellSpacing w:w="15" w:type="dxa"/>
        </w:trPr>
        <w:tc>
          <w:tcPr>
            <w:tcW w:w="14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25B5A" w14:textId="77777777" w:rsidR="00BF0894" w:rsidRDefault="00BF0894"/>
        </w:tc>
      </w:tr>
      <w:tr w:rsidR="00BF0894" w14:paraId="312064C2" w14:textId="77777777" w:rsidTr="00BF0894">
        <w:trPr>
          <w:tblCellSpacing w:w="15" w:type="dxa"/>
        </w:trPr>
        <w:tc>
          <w:tcPr>
            <w:tcW w:w="146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1FF44" w14:textId="5F0C4B60" w:rsidR="00BF0894" w:rsidRDefault="00BF0894" w:rsidP="009B03C3">
            <w:pPr>
              <w:spacing w:after="0"/>
            </w:pPr>
            <w:r>
              <w:t>Стоимость выполнения работ по ремонту в ценах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IV</w:t>
            </w:r>
            <w:r w:rsidRPr="00BF0894">
              <w:rPr>
                <w:sz w:val="22"/>
                <w:szCs w:val="22"/>
              </w:rPr>
              <w:t xml:space="preserve"> </w:t>
            </w:r>
            <w:r>
              <w:t>квартала 2019 года (октябрь-декабрь)</w:t>
            </w:r>
          </w:p>
          <w:p w14:paraId="4F4ABB8E" w14:textId="77777777" w:rsidR="00BF0894" w:rsidRDefault="00BF0894" w:rsidP="009B03C3">
            <w:pPr>
              <w:spacing w:after="0"/>
            </w:pPr>
            <w:r>
              <w:t xml:space="preserve"> составляет 2 003 132, 40 </w:t>
            </w:r>
          </w:p>
          <w:p w14:paraId="010A06FD" w14:textId="76D4DC17" w:rsidR="00BF0894" w:rsidRDefault="00BF0894" w:rsidP="009B03C3">
            <w:pPr>
              <w:spacing w:after="0"/>
            </w:pPr>
            <w:r>
              <w:t>Индекс фактической инфляции декабря 2020 г. к декабрю 2019 г составляет - 1,0431</w:t>
            </w:r>
          </w:p>
          <w:p w14:paraId="78BAC790" w14:textId="75B486CD" w:rsidR="00BF0894" w:rsidRDefault="00BF0894" w:rsidP="009B03C3">
            <w:pPr>
              <w:spacing w:after="0"/>
            </w:pPr>
            <w:r>
              <w:t>Индекс фактической инфляции ноября 2021 г. к декабрю 2020 г составляет - 1,0938</w:t>
            </w:r>
          </w:p>
          <w:p w14:paraId="3086CD3C" w14:textId="77777777" w:rsidR="00BF0894" w:rsidRDefault="00BF0894" w:rsidP="009B03C3">
            <w:pPr>
              <w:spacing w:after="0"/>
            </w:pPr>
            <w:r>
              <w:t xml:space="preserve">Таким образом, индекс фактической инфляции на дату формирования начальной </w:t>
            </w:r>
          </w:p>
          <w:p w14:paraId="3E7C47CB" w14:textId="77777777" w:rsidR="00BF0894" w:rsidRDefault="00BF0894" w:rsidP="009B03C3">
            <w:pPr>
              <w:spacing w:after="0"/>
            </w:pPr>
            <w:r>
              <w:t>(максимальной) цены контракта (январь 2022 г.) составляет: 1,0431х1,0938 =1,14094</w:t>
            </w:r>
          </w:p>
          <w:p w14:paraId="40DB1E26" w14:textId="77777777" w:rsidR="00BF0894" w:rsidRDefault="00BF0894" w:rsidP="009B03C3">
            <w:pPr>
              <w:spacing w:after="0"/>
            </w:pPr>
            <w:r>
              <w:t xml:space="preserve"> </w:t>
            </w:r>
          </w:p>
        </w:tc>
      </w:tr>
    </w:tbl>
    <w:p w14:paraId="42C62EDC" w14:textId="77777777" w:rsidR="00BF0894" w:rsidRDefault="00BF0894" w:rsidP="009B03C3">
      <w:pPr>
        <w:spacing w:after="0"/>
      </w:pPr>
      <w:r>
        <w:lastRenderedPageBreak/>
        <w:t>Прогнозный индекс-дефлятор России по строке Инвестиции в основной капитал - на 2021 год – 105,1</w:t>
      </w:r>
    </w:p>
    <w:p w14:paraId="4800733B" w14:textId="77777777" w:rsidR="00BF0894" w:rsidRDefault="00BF0894" w:rsidP="009B03C3">
      <w:pPr>
        <w:spacing w:after="0"/>
        <w:rPr>
          <w:bCs/>
        </w:rPr>
      </w:pPr>
      <w:r>
        <w:rPr>
          <w:bCs/>
        </w:rPr>
        <w:t xml:space="preserve"> </w:t>
      </w:r>
    </w:p>
    <w:p w14:paraId="545178F2" w14:textId="77777777" w:rsidR="00BF0894" w:rsidRDefault="00BF0894" w:rsidP="009B03C3">
      <w:pPr>
        <w:spacing w:after="0"/>
        <w:rPr>
          <w:bCs/>
        </w:rPr>
      </w:pPr>
      <w:r>
        <w:rPr>
          <w:bCs/>
        </w:rPr>
        <w:t xml:space="preserve">Итого инфляция в 2021 году равна корню двенадцатой степени из 105,1 - 1,00415 </w:t>
      </w:r>
    </w:p>
    <w:p w14:paraId="5499C5F0" w14:textId="77777777" w:rsidR="00BF0894" w:rsidRDefault="00BF0894" w:rsidP="009B03C3">
      <w:pPr>
        <w:spacing w:after="0"/>
        <w:rPr>
          <w:bCs/>
        </w:rPr>
      </w:pPr>
      <w:r>
        <w:rPr>
          <w:bCs/>
        </w:rPr>
        <w:t>Индекс – дефлятор на начало 2022 года составляет 1,00415 (декабрь 2021г.) - 1,00415</w:t>
      </w:r>
    </w:p>
    <w:p w14:paraId="2A4B62DA" w14:textId="77777777" w:rsidR="00BF0894" w:rsidRDefault="00BF0894" w:rsidP="009B03C3">
      <w:pPr>
        <w:spacing w:after="0"/>
        <w:rPr>
          <w:bCs/>
        </w:rPr>
      </w:pPr>
    </w:p>
    <w:p w14:paraId="291C16CB" w14:textId="77777777" w:rsidR="00BF0894" w:rsidRDefault="00BF0894" w:rsidP="009B03C3">
      <w:pPr>
        <w:spacing w:after="0"/>
      </w:pPr>
      <w:r>
        <w:t xml:space="preserve">Прогнозный индекс-дефлятор России по строке Инвестиции в основной капитал - на </w:t>
      </w:r>
      <w:proofErr w:type="gramStart"/>
      <w:r>
        <w:t>2022  год</w:t>
      </w:r>
      <w:proofErr w:type="gramEnd"/>
      <w:r>
        <w:t xml:space="preserve"> – 104,8</w:t>
      </w:r>
    </w:p>
    <w:p w14:paraId="35A33C2B" w14:textId="77777777" w:rsidR="00BF0894" w:rsidRDefault="00BF0894" w:rsidP="009B03C3">
      <w:pPr>
        <w:shd w:val="clear" w:color="auto" w:fill="FFFFFF"/>
        <w:spacing w:after="0"/>
        <w:rPr>
          <w:bCs/>
          <w:color w:val="000000"/>
        </w:rPr>
      </w:pPr>
      <w:r>
        <w:rPr>
          <w:bCs/>
          <w:color w:val="000000"/>
        </w:rPr>
        <w:t>Итого инфляция в 2022 году в месяц равна корню двенадцатой степени из 104,8 – 1,00391</w:t>
      </w:r>
    </w:p>
    <w:p w14:paraId="52480FF7" w14:textId="77777777" w:rsidR="00BF0894" w:rsidRDefault="00BF0894" w:rsidP="009B03C3">
      <w:pPr>
        <w:spacing w:after="0"/>
      </w:pPr>
    </w:p>
    <w:p w14:paraId="31996879" w14:textId="77777777" w:rsidR="00BF0894" w:rsidRDefault="00BF0894" w:rsidP="009B03C3">
      <w:pPr>
        <w:shd w:val="clear" w:color="auto" w:fill="FFFFFF"/>
        <w:spacing w:after="0"/>
        <w:rPr>
          <w:bCs/>
          <w:color w:val="000000"/>
        </w:rPr>
      </w:pPr>
      <w:r>
        <w:rPr>
          <w:bCs/>
          <w:color w:val="000000"/>
        </w:rPr>
        <w:t>Индекс-дефлятор с января по апрель на дату начала выполнения работ (май 2022 г.) рассчитывается как 1,00391 в четвертой степени – 1,01573</w:t>
      </w:r>
    </w:p>
    <w:p w14:paraId="6549B974" w14:textId="77777777" w:rsidR="00BF0894" w:rsidRDefault="00BF0894" w:rsidP="009B03C3">
      <w:pPr>
        <w:spacing w:after="0"/>
      </w:pPr>
      <w:r>
        <w:t>Прогнозный индекс дефлятор с декабря 2021г. по апрель 2022г. на дату начала выполнения работ (май 2022 г.) определяется перемножением индексов: 1,00415 х 1,01573 = 1,01995</w:t>
      </w:r>
    </w:p>
    <w:p w14:paraId="585C8CA1" w14:textId="77777777" w:rsidR="00BF0894" w:rsidRDefault="00BF0894" w:rsidP="009B03C3">
      <w:pPr>
        <w:shd w:val="clear" w:color="auto" w:fill="FFFFFF"/>
        <w:tabs>
          <w:tab w:val="left" w:pos="3644"/>
        </w:tabs>
        <w:spacing w:after="0"/>
        <w:rPr>
          <w:bCs/>
          <w:color w:val="000000"/>
        </w:rPr>
      </w:pPr>
      <w:r>
        <w:rPr>
          <w:bCs/>
          <w:color w:val="000000"/>
        </w:rPr>
        <w:tab/>
      </w:r>
    </w:p>
    <w:p w14:paraId="718BCF22" w14:textId="5D67EBFB" w:rsidR="00BF0894" w:rsidRDefault="00BF0894" w:rsidP="009B03C3">
      <w:pPr>
        <w:spacing w:after="0"/>
      </w:pPr>
      <w:r>
        <w:t>Индекс-дефлятор с января по сентябрь на дату окончания выполнения работ (сентябрь 2022 г.) рассчитывается как 1,00391 в девятой степени – 1,03575</w:t>
      </w:r>
    </w:p>
    <w:p w14:paraId="141ECA5A" w14:textId="7C458DAC" w:rsidR="00BF0894" w:rsidRDefault="00BF0894" w:rsidP="00E2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14:paraId="1358FB6B" w14:textId="77777777" w:rsidR="00BF0894" w:rsidRPr="00176A7F" w:rsidRDefault="00BF0894" w:rsidP="00E2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14:paraId="6A432290" w14:textId="77777777" w:rsidR="009B03C3" w:rsidRDefault="009B03C3" w:rsidP="009B03C3">
      <w:pPr>
        <w:tabs>
          <w:tab w:val="left" w:pos="30"/>
          <w:tab w:val="left" w:pos="1276"/>
        </w:tabs>
        <w:spacing w:before="40"/>
        <w:ind w:left="33" w:right="-28"/>
        <w:jc w:val="center"/>
        <w:rPr>
          <w:b/>
        </w:rPr>
      </w:pPr>
      <w:r>
        <w:t>Среднее арифметическое между индексами-дефляторами Минэкономразвития России, определенными на месяц начала выполнения работ (май) и месяца окончания работ (сентябрь) (1,01995+1,03575)/2= 1,02785</w:t>
      </w:r>
    </w:p>
    <w:p w14:paraId="1C42ACEB" w14:textId="77777777" w:rsidR="00180003" w:rsidRPr="00EF0C0C" w:rsidRDefault="00180003" w:rsidP="00E21FA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sectPr w:rsidR="00180003" w:rsidRPr="00EF0C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76A7F"/>
    <w:rsid w:val="00180003"/>
    <w:rsid w:val="00186631"/>
    <w:rsid w:val="001870B5"/>
    <w:rsid w:val="00253502"/>
    <w:rsid w:val="003C5953"/>
    <w:rsid w:val="00460AC0"/>
    <w:rsid w:val="004E6B2A"/>
    <w:rsid w:val="00517A80"/>
    <w:rsid w:val="005F00FA"/>
    <w:rsid w:val="00636B2E"/>
    <w:rsid w:val="00637328"/>
    <w:rsid w:val="00740120"/>
    <w:rsid w:val="008214DC"/>
    <w:rsid w:val="00824112"/>
    <w:rsid w:val="00882785"/>
    <w:rsid w:val="009B03C3"/>
    <w:rsid w:val="00A6014E"/>
    <w:rsid w:val="00AE5695"/>
    <w:rsid w:val="00BC71BB"/>
    <w:rsid w:val="00BF0894"/>
    <w:rsid w:val="00D56368"/>
    <w:rsid w:val="00D75387"/>
    <w:rsid w:val="00E21FA4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12</cp:revision>
  <cp:lastPrinted>2022-02-02T03:05:00Z</cp:lastPrinted>
  <dcterms:created xsi:type="dcterms:W3CDTF">2022-01-21T07:18:00Z</dcterms:created>
  <dcterms:modified xsi:type="dcterms:W3CDTF">2022-03-31T04:08:00Z</dcterms:modified>
</cp:coreProperties>
</file>