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2F3B55B1" w:rsidR="00923975" w:rsidRPr="004D418A" w:rsidRDefault="00F4676B" w:rsidP="0048549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4676B">
              <w:rPr>
                <w:rFonts w:ascii="Times New Roman" w:hAnsi="Times New Roman"/>
                <w:lang w:eastAsia="en-US"/>
              </w:rPr>
              <w:t>Услуга по разработке проектно-сметной документации и проверке достоверности определения сметной стоимости на комплексный капитальный ремонт  МБОУ «Лицей № 6», расположенного по адресу: проспект Ленина, 48 в г. Рубцовске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7"/>
        <w:gridCol w:w="3380"/>
        <w:gridCol w:w="2835"/>
        <w:gridCol w:w="2704"/>
      </w:tblGrid>
      <w:tr w:rsidR="007A267E" w:rsidRPr="007A267E" w14:paraId="588B4BBF" w14:textId="77777777" w:rsidTr="005A6AEE"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C2C8" w14:textId="360BD706" w:rsidR="007A267E" w:rsidRPr="007A267E" w:rsidRDefault="007A267E" w:rsidP="00664DB4">
            <w:pPr>
              <w:autoSpaceDE w:val="0"/>
              <w:autoSpaceDN w:val="0"/>
              <w:adjustRightInd w:val="0"/>
              <w:spacing w:after="0" w:line="240" w:lineRule="auto"/>
              <w:ind w:left="3119" w:hanging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7"/>
                <w:szCs w:val="27"/>
              </w:rPr>
              <w:t>ЗАДАНИЕ НА ПРОЕКТИРОВАНИЕ</w:t>
            </w:r>
          </w:p>
        </w:tc>
      </w:tr>
      <w:tr w:rsidR="007A267E" w:rsidRPr="007A267E" w14:paraId="7B692B1B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0E034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0CAC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Перечень  основных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FDE5" w14:textId="77777777" w:rsidR="007A267E" w:rsidRPr="007A267E" w:rsidRDefault="007A267E" w:rsidP="007A267E">
            <w:pPr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 требований</w:t>
            </w:r>
          </w:p>
        </w:tc>
      </w:tr>
      <w:tr w:rsidR="007A267E" w:rsidRPr="007A267E" w14:paraId="433CD2A9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A0C0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E95A2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1DF3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</w:t>
            </w:r>
          </w:p>
        </w:tc>
      </w:tr>
      <w:tr w:rsidR="007A267E" w:rsidRPr="007A267E" w14:paraId="03BD5B57" w14:textId="77777777" w:rsidTr="007A267E">
        <w:trPr>
          <w:trHeight w:val="58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8001" w14:textId="77777777" w:rsidR="007A267E" w:rsidRPr="007A267E" w:rsidRDefault="007A267E" w:rsidP="007A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1. ОБЩИЕ ДАННЫЕ</w:t>
            </w:r>
          </w:p>
        </w:tc>
      </w:tr>
      <w:tr w:rsidR="007A267E" w:rsidRPr="007A267E" w14:paraId="3000FB9B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DC32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177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38DB" w14:textId="574DDC3E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Федеральная программа «Модернизация школьных систем образования» по реализации на 2022-2026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гг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капитального ремонта зданий общеобразовательных организаций</w:t>
            </w:r>
          </w:p>
        </w:tc>
      </w:tr>
      <w:tr w:rsidR="007A267E" w:rsidRPr="007A267E" w14:paraId="37EEA099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3F2D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1815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678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МБОУ «Лицей №6» </w:t>
            </w:r>
          </w:p>
        </w:tc>
      </w:tr>
      <w:tr w:rsidR="007A267E" w:rsidRPr="007A267E" w14:paraId="14E08BA0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3DFA1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F95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F80C" w14:textId="09F813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658207, Алтайский край,  город Рубцовск, пр. Ленина, 48</w:t>
            </w:r>
          </w:p>
        </w:tc>
      </w:tr>
      <w:tr w:rsidR="007A267E" w:rsidRPr="007A267E" w14:paraId="461E3D43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93380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955B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51B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</w:t>
            </w:r>
          </w:p>
        </w:tc>
      </w:tr>
      <w:tr w:rsidR="007A267E" w:rsidRPr="007A267E" w14:paraId="71AE56AC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11460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62F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917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Функциональное назначение – образовательное учреждение (школа).</w:t>
            </w:r>
          </w:p>
          <w:p w14:paraId="3FA680F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4-х этажное здание с подвалом</w:t>
            </w:r>
          </w:p>
        </w:tc>
      </w:tr>
      <w:tr w:rsidR="007A267E" w:rsidRPr="007A267E" w14:paraId="3412D944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0079C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0C0B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0C8B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 постройки  </w:t>
            </w:r>
          </w:p>
          <w:p w14:paraId="3D53DEBA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здания</w:t>
            </w:r>
          </w:p>
          <w:p w14:paraId="5594622E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Надземных этажей</w:t>
            </w:r>
          </w:p>
          <w:p w14:paraId="38876C08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Подземных этажей</w:t>
            </w:r>
            <w:r w:rsidRPr="007A267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14:paraId="3E484945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Общая площадь территории школы</w:t>
            </w:r>
          </w:p>
          <w:p w14:paraId="762FB826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931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1956 г.</w:t>
            </w:r>
          </w:p>
          <w:p w14:paraId="06EF10C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3550.01 м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1C626F3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4 этажа</w:t>
            </w:r>
          </w:p>
          <w:p w14:paraId="0751662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1 этаж</w:t>
            </w:r>
          </w:p>
          <w:p w14:paraId="58C993FA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14810 м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483ED08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D2F522" w14:textId="4BC1F390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020908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0004</w:t>
            </w:r>
          </w:p>
        </w:tc>
      </w:tr>
      <w:tr w:rsidR="007A267E" w:rsidRPr="007A267E" w14:paraId="64E27B07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DD38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8D2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DD6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Не требуется</w:t>
            </w:r>
          </w:p>
        </w:tc>
      </w:tr>
      <w:tr w:rsidR="007A267E" w:rsidRPr="007A267E" w14:paraId="3BEDC865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A7D0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0C27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F1E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2023 – 202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7A267E" w:rsidRPr="007A267E" w14:paraId="2D73D79B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A67B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83B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E4D0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7A267E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7A267E" w:rsidRPr="007A267E" w14:paraId="41AD0BEF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1931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5C5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6DBE" w14:textId="77777777" w:rsidR="007A267E" w:rsidRPr="007A267E" w:rsidRDefault="007A267E" w:rsidP="007A267E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7A267E" w:rsidRPr="007A267E" w14:paraId="66B294C6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97AF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CF7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FF97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Заказчик предоставляет Подрядчику:</w:t>
            </w:r>
          </w:p>
          <w:p w14:paraId="0BBB2B43" w14:textId="77777777" w:rsidR="007A267E" w:rsidRPr="007A267E" w:rsidRDefault="007A267E" w:rsidP="007A267E">
            <w:pPr>
              <w:numPr>
                <w:ilvl w:val="0"/>
                <w:numId w:val="9"/>
              </w:numPr>
              <w:spacing w:after="0" w:line="240" w:lineRule="auto"/>
              <w:ind w:left="154" w:firstLine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26774FEE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2.  Паспорт здания </w:t>
            </w:r>
          </w:p>
          <w:p w14:paraId="4A4225D7" w14:textId="77777777" w:rsidR="007A267E" w:rsidRPr="007A267E" w:rsidRDefault="007A267E" w:rsidP="007A267E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Срок предоставления ИРД не входит в срок выполнения проектных работ.</w:t>
            </w:r>
          </w:p>
        </w:tc>
      </w:tr>
      <w:tr w:rsidR="007A267E" w:rsidRPr="007A267E" w14:paraId="67341432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70CE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78D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6AA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Класс пожарной опасности зданий – в соответствии с действующим законодательством.</w:t>
            </w:r>
          </w:p>
          <w:p w14:paraId="7B8BADF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Уровень ответственности - в соответствии с действующим законодательством. </w:t>
            </w:r>
          </w:p>
          <w:p w14:paraId="389D84A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Степень огнестойкости – в соответствии с действующим законодательством.</w:t>
            </w:r>
          </w:p>
          <w:p w14:paraId="0DF766E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7A267E" w:rsidRPr="007A267E" w14:paraId="3696011B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79F4D" w14:textId="77777777" w:rsidR="007A267E" w:rsidRPr="007A267E" w:rsidRDefault="007A267E" w:rsidP="007A267E">
            <w:pPr>
              <w:numPr>
                <w:ilvl w:val="0"/>
                <w:numId w:val="1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71E5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cs="Calibri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F9D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Природно-климатические условия строительства:</w:t>
            </w:r>
          </w:p>
          <w:p w14:paraId="1DD4D88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 - климатический район строительства I</w:t>
            </w:r>
            <w:r w:rsidRPr="007A267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I;</w:t>
            </w:r>
          </w:p>
          <w:p w14:paraId="098416C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снеговой район I</w:t>
            </w:r>
            <w:r w:rsidRPr="007A267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699DD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>- ветровой район I</w:t>
            </w:r>
            <w:r w:rsidRPr="007A267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I.</w:t>
            </w:r>
          </w:p>
          <w:p w14:paraId="0DD81B2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A267E" w:rsidRPr="007A267E" w14:paraId="6AB28684" w14:textId="77777777" w:rsidTr="007A267E">
        <w:trPr>
          <w:trHeight w:val="58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3E15" w14:textId="32FC6F6F" w:rsidR="007A267E" w:rsidRPr="007A267E" w:rsidRDefault="007A267E" w:rsidP="007A267E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>2. ОСНОВНЫЕ ТРЕБОВАНИЯ К ПРОЕКТНЫМ РЕШЕНИЯМ</w:t>
            </w:r>
          </w:p>
        </w:tc>
      </w:tr>
      <w:tr w:rsidR="007A267E" w:rsidRPr="007A267E" w14:paraId="1993EF10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5C74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BA8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F9C9" w14:textId="194BC44D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Документацию выполнить в объеме согласно требованиям Постановления правительства РФ № 87 от 16.02.2008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179254D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разработать следующие необходимые разделы:</w:t>
            </w:r>
          </w:p>
          <w:p w14:paraId="63CD4DC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1. Пояснительная записка.</w:t>
            </w:r>
          </w:p>
          <w:p w14:paraId="562E1320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3. Архитектурные решения.</w:t>
            </w:r>
          </w:p>
          <w:p w14:paraId="40A09D2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4. Конструктивные и объемно-планировочные решения </w:t>
            </w:r>
          </w:p>
          <w:p w14:paraId="6CBA860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4AB5EEE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5.1. Система электроснабжения.</w:t>
            </w:r>
          </w:p>
          <w:p w14:paraId="409BCF2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5.2. Система водоснабжения</w:t>
            </w:r>
          </w:p>
          <w:p w14:paraId="3466782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5.3. Система водоотведения.</w:t>
            </w:r>
          </w:p>
          <w:p w14:paraId="5A1BAB4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5.4. Система отопления</w:t>
            </w:r>
          </w:p>
          <w:p w14:paraId="7287D24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5.5. Вентиляция.</w:t>
            </w:r>
          </w:p>
          <w:p w14:paraId="5F9C0E0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5.6. Сети связи в составе:</w:t>
            </w:r>
          </w:p>
          <w:p w14:paraId="00D2B04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система охранной сигнализации;</w:t>
            </w:r>
          </w:p>
          <w:p w14:paraId="2DC090A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система видеонаблюдения и охранного телевидения;</w:t>
            </w:r>
          </w:p>
          <w:p w14:paraId="4F7ACEE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3560770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5.7. Технологические решения.</w:t>
            </w:r>
          </w:p>
          <w:p w14:paraId="50C245E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6. ПОКР (проект организации капитального ремонта)</w:t>
            </w:r>
          </w:p>
          <w:p w14:paraId="4801191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9. Мероприятия по обеспечению пожарной безопасности:  </w:t>
            </w:r>
          </w:p>
          <w:p w14:paraId="6D2B9310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автоматическая установка пожарной сигнализации, </w:t>
            </w:r>
          </w:p>
          <w:p w14:paraId="3BB5D09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система оповещения и управления эвакуацией людей при пожаре.</w:t>
            </w:r>
          </w:p>
          <w:p w14:paraId="4910DDF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10. Мероприятия по обеспечению доступа инвалидов и маломобильных групп населения.</w:t>
            </w:r>
          </w:p>
          <w:p w14:paraId="272133A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11. Сметная документация согласно действующего законодательства РФ. </w:t>
            </w:r>
          </w:p>
          <w:p w14:paraId="3FC6D04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 составе рабочей документации следующие разделы: </w:t>
            </w:r>
          </w:p>
          <w:p w14:paraId="4931FCE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ГП – генеральный план</w:t>
            </w:r>
          </w:p>
          <w:p w14:paraId="1DBF149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АС – архитектурно-строительные решения.</w:t>
            </w:r>
          </w:p>
          <w:p w14:paraId="468597F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ЭОМ - внутреннее электрооборудование и электроосвещение.</w:t>
            </w:r>
          </w:p>
          <w:p w14:paraId="0E23673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ВК – внутренний водопровод и канализация.</w:t>
            </w:r>
          </w:p>
          <w:p w14:paraId="7F3AD72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ОВиК – отопление, вентиляция, кондиционирование.</w:t>
            </w:r>
          </w:p>
          <w:p w14:paraId="0F5D0C40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ТХ – технологические решения;</w:t>
            </w:r>
          </w:p>
          <w:p w14:paraId="7FABAA5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СС – сети связи в составе:</w:t>
            </w:r>
          </w:p>
          <w:p w14:paraId="77B1F90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системы охранной сигнализации;</w:t>
            </w:r>
          </w:p>
          <w:p w14:paraId="01ABA1D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системы видеонаблюдения и охранного телевидения;</w:t>
            </w:r>
          </w:p>
          <w:p w14:paraId="306B96C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2A8457E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СМ – сметная документация.</w:t>
            </w:r>
          </w:p>
          <w:p w14:paraId="322D940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7A267E" w:rsidRPr="007A267E" w14:paraId="1C0CC9AD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0696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972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E499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Проектом предусмотреть:</w:t>
            </w:r>
          </w:p>
          <w:p w14:paraId="45C9A037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асфальтобетонную отмостку здания;</w:t>
            </w:r>
          </w:p>
          <w:p w14:paraId="631447A1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7A267E" w:rsidRPr="007A267E" w14:paraId="5E75C47A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1B1B0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7D7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E201" w14:textId="77777777" w:rsidR="007A267E" w:rsidRPr="007A267E" w:rsidRDefault="007A267E" w:rsidP="007A267E">
            <w:pPr>
              <w:numPr>
                <w:ilvl w:val="0"/>
                <w:numId w:val="14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7A267E">
              <w:rPr>
                <w:rFonts w:ascii="Times New Roman" w:hAnsi="Times New Roman"/>
                <w:sz w:val="20"/>
                <w:szCs w:val="20"/>
                <w:lang w:val="x-none"/>
              </w:rPr>
              <w:t>Проектом предусмотреть капитальный ремонт существующего здания в соответствии с условиями настоящего задания .</w:t>
            </w:r>
          </w:p>
          <w:p w14:paraId="5F16FFAD" w14:textId="77777777" w:rsidR="007A267E" w:rsidRPr="007A267E" w:rsidRDefault="007A267E" w:rsidP="007A267E">
            <w:pPr>
              <w:numPr>
                <w:ilvl w:val="0"/>
                <w:numId w:val="14"/>
              </w:num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7A267E">
              <w:rPr>
                <w:rFonts w:ascii="Times New Roman" w:hAnsi="Times New Roman"/>
                <w:sz w:val="20"/>
                <w:szCs w:val="20"/>
                <w:lang w:val="x-none"/>
              </w:rPr>
              <w:t>Общие указания:</w:t>
            </w:r>
          </w:p>
          <w:p w14:paraId="105B7C59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Функциональное назначение помещений принять без изменений.</w:t>
            </w:r>
          </w:p>
          <w:p w14:paraId="20BE1669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376E76D6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23D1CE87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42ECE244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Выполнить утепление цоколя. </w:t>
            </w:r>
          </w:p>
          <w:p w14:paraId="14B120A6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6A3E40E4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Сообщения между этажами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714C5AB2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19403FC6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50DB51FD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По фасадам здания предусмотреть:</w:t>
            </w:r>
          </w:p>
          <w:p w14:paraId="08E5468F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ремонт стен и цоколя, восстановление штукатурного слоя фасадов, окраску фасадов; </w:t>
            </w:r>
          </w:p>
          <w:p w14:paraId="5ED081C9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000FF1D0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ремонт (в случае необходимости замена) лестниц, приямков, навесов;</w:t>
            </w:r>
          </w:p>
          <w:p w14:paraId="7EBC5A5A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1AE32BD4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замену входных дверей и внутренних дверей эвакуационных выходов согласно нормативной технической документации, актуальной на дату проектирования.. Материал дверей наружные - металлические, внутренние - деревянные.</w:t>
            </w:r>
          </w:p>
          <w:p w14:paraId="18153252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 Отделочные работы:</w:t>
            </w:r>
          </w:p>
          <w:p w14:paraId="00382027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4.1. Предусмотреть отделку всех помещений в соответствии с их функциональным назначением.</w:t>
            </w:r>
          </w:p>
          <w:p w14:paraId="043619AA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2A8349A8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4.2. Основные помещения, кабинеты:</w:t>
            </w:r>
          </w:p>
          <w:p w14:paraId="09AD6B0B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покрытие пола – гетерогенный линолеум в соответствии с функциональным назначением кабинетов ( класс пожарной опасности не более КМ0 – стены и потолок и КМ1 – покрытие пола);</w:t>
            </w:r>
          </w:p>
          <w:p w14:paraId="5CF02A59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стены – смена обоев, окраска водоэмульсионная;</w:t>
            </w:r>
          </w:p>
          <w:p w14:paraId="04957403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потолок –подвесной типа «армстронг», </w:t>
            </w:r>
          </w:p>
          <w:p w14:paraId="74904073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4.3. Коридоры, рекреации: </w:t>
            </w:r>
          </w:p>
          <w:p w14:paraId="5D055FCE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– полы – гетерогенный линолеум; </w:t>
            </w:r>
          </w:p>
          <w:p w14:paraId="32394E8F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стены – декоративная штукатурка, окраска водоэмульсионная;</w:t>
            </w:r>
          </w:p>
          <w:p w14:paraId="5B878CEE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потолок – подвесной типа «армстронг».</w:t>
            </w:r>
          </w:p>
          <w:p w14:paraId="7A365D26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4.4. Лестничные клетки: </w:t>
            </w:r>
          </w:p>
          <w:p w14:paraId="12A08114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3284A2ED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стены – декоративная штукатурка, водоэмульсионная окраска;</w:t>
            </w:r>
          </w:p>
          <w:p w14:paraId="256B1C97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19349311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4.5. Помещения подвала, технические помещения:</w:t>
            </w:r>
          </w:p>
          <w:p w14:paraId="10FAAE39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– полы – керамическая плитка; </w:t>
            </w:r>
          </w:p>
          <w:p w14:paraId="7BFA7946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– стены и потолок – окраска водоэмульсионная;</w:t>
            </w:r>
          </w:p>
          <w:p w14:paraId="530B77F3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4.6. Столовая:</w:t>
            </w:r>
          </w:p>
          <w:p w14:paraId="7A05997D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14:paraId="43DE460C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потолок - подвесной типа «армстронг»;</w:t>
            </w:r>
          </w:p>
          <w:p w14:paraId="41321B18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4.7. Санузлы: </w:t>
            </w:r>
          </w:p>
          <w:p w14:paraId="3A462E4D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полы, стены - керамическая плитка;</w:t>
            </w:r>
          </w:p>
          <w:p w14:paraId="316B1DDC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потолок – водоэмульсионная окраска;</w:t>
            </w:r>
          </w:p>
          <w:p w14:paraId="4A04B748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Отделка помещений должна соответствовать пожарным требованиям.</w:t>
            </w:r>
          </w:p>
          <w:p w14:paraId="31F827B0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Раздел ТХ согласовать с Заказчиком.</w:t>
            </w:r>
          </w:p>
          <w:p w14:paraId="18175F4F" w14:textId="77777777" w:rsidR="007A267E" w:rsidRPr="007A267E" w:rsidRDefault="007A267E" w:rsidP="007A267E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4.8. Кровля.</w:t>
            </w:r>
          </w:p>
          <w:p w14:paraId="53B02168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Выполнить замену покрытия кровли, ограждения кровли, снегозадержания и водосточной системы. </w:t>
            </w:r>
          </w:p>
          <w:p w14:paraId="26FE661A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4.9. Благоустройство территории и МАФ </w:t>
            </w:r>
          </w:p>
          <w:p w14:paraId="089FCCB0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тротуарное покрытие – асфальтобетонное,</w:t>
            </w:r>
          </w:p>
          <w:p w14:paraId="757C3C39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3A1F5111" w14:textId="77777777" w:rsidR="007A267E" w:rsidRPr="007A267E" w:rsidRDefault="007A267E" w:rsidP="007A267E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ограждение – металлические 3Д панели. </w:t>
            </w:r>
          </w:p>
        </w:tc>
      </w:tr>
      <w:tr w:rsidR="007A267E" w:rsidRPr="007A267E" w14:paraId="0D40EF00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6B36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0F03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B357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Документации разработать в соответствии действующих строительных норм, в том числе:</w:t>
            </w:r>
          </w:p>
          <w:p w14:paraId="6AA64B99" w14:textId="77777777" w:rsidR="007A267E" w:rsidRPr="007A267E" w:rsidRDefault="007A267E" w:rsidP="007A267E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  <w:lang w:eastAsia="x-none"/>
              </w:rPr>
            </w:pPr>
            <w:r w:rsidRPr="007A267E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- Гигиенические нормативы и требования к обеспечению безопасности и (или) безвредности для человека факторов среды обита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ния,</w:t>
            </w:r>
          </w:p>
          <w:p w14:paraId="08AF1975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Технический регламент о требованиях пожарной безопасности;</w:t>
            </w:r>
          </w:p>
          <w:p w14:paraId="40704E0F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 «Каменные и армокаменные конструкции»</w:t>
            </w:r>
          </w:p>
          <w:p w14:paraId="2F6F63E7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«Стальные конструкции»</w:t>
            </w:r>
          </w:p>
          <w:p w14:paraId="5F584F36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«Основания зданий и сооружений»</w:t>
            </w:r>
          </w:p>
          <w:p w14:paraId="59E3B098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«Бетонные и железобетонные конструкции. Основные положения»;</w:t>
            </w:r>
          </w:p>
          <w:p w14:paraId="0EFA993A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«Защита строительных конструкций от коррозии»</w:t>
            </w:r>
          </w:p>
          <w:p w14:paraId="3ED51006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 «Строительство в сейсмических районах»</w:t>
            </w:r>
          </w:p>
          <w:p w14:paraId="0ED49ABD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7A267E" w:rsidRPr="007A267E" w14:paraId="62CF3EA3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D782B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7C0B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5567" w14:textId="0AB682AF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7A267E" w:rsidRPr="007A267E" w14:paraId="07F1E9C1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479" w14:textId="77777777" w:rsidR="007A267E" w:rsidRPr="007A267E" w:rsidRDefault="007A267E" w:rsidP="007A267E">
            <w:pPr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F6F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D60C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полную замену системы внутреннего электрооборудования розеточную и осветительную часть здания , включая замену ВРУ и т.д. в соответствии с действующими НТД.</w:t>
            </w:r>
          </w:p>
          <w:p w14:paraId="499B30F2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 электроснабжения: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электроснабжение объекта от существующего источника.</w:t>
            </w:r>
          </w:p>
          <w:p w14:paraId="61B1A2A8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Молниезащита и заземление: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устройство молниезащиты здания в соответствии с ПУЭ и действующими НТД.</w:t>
            </w:r>
          </w:p>
          <w:p w14:paraId="76B9F2B3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56A0BDE7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Кабельная продукция: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6FA230F0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Электроосвещение: с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ветильники эвакуационного освещения должны быть отмечены в соответствии с ПУЭ и НТД.</w:t>
            </w:r>
          </w:p>
          <w:p w14:paraId="3C3C6837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Эвакуационное освещение выполнить в соответствии с действующим законодательством.</w:t>
            </w:r>
          </w:p>
          <w:p w14:paraId="0E3EDAEE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1C61A6B8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Во влажных помещениях применить влагозащищенные устройства.</w:t>
            </w:r>
          </w:p>
          <w:p w14:paraId="6945948B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Выполнить устройство сетей наружного электроосвещения.</w:t>
            </w:r>
          </w:p>
          <w:p w14:paraId="2D607F13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Подключение выполнить в электрощитовой здания школы.</w:t>
            </w:r>
          </w:p>
          <w:p w14:paraId="69F7C8ED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Выполнить расчет освещенности. </w:t>
            </w:r>
          </w:p>
          <w:p w14:paraId="61E421CF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Светильники использовать светодиодные срок эксплуатации не менее 5 лет</w:t>
            </w:r>
            <w:r w:rsidRPr="007A2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в соответствии с НТД.</w:t>
            </w:r>
          </w:p>
        </w:tc>
      </w:tr>
      <w:tr w:rsidR="007A267E" w:rsidRPr="007A267E" w14:paraId="1EB0DBB8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45A3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7A267E">
              <w:rPr>
                <w:rFonts w:ascii="Times New Roman" w:hAnsi="Times New Roman"/>
                <w:sz w:val="20"/>
                <w:szCs w:val="20"/>
                <w:lang w:bidi="hi-IN"/>
              </w:rPr>
              <w:lastRenderedPageBreak/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64B7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холодного  водоснабжения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ACE7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14:paraId="1F8AED64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Проектом предусмотреть устройство поливочных кранов.</w:t>
            </w:r>
          </w:p>
          <w:p w14:paraId="2FC1D624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</w:t>
            </w:r>
            <w:r w:rsidRPr="007A2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штуцера с запорной арматурой для спуска воды в соответствии с НТД.</w:t>
            </w:r>
          </w:p>
          <w:p w14:paraId="6AE2ED27" w14:textId="16C03CB5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установку прибора учета холодного водоснабжения.</w:t>
            </w:r>
          </w:p>
        </w:tc>
      </w:tr>
      <w:tr w:rsidR="007A267E" w:rsidRPr="007A267E" w14:paraId="5007E827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E0B6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E68C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73A4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канализование здания посредством замененных в соответствии с НТД  выпусков, подключенных к ближайшим  канализационным колодцам.</w:t>
            </w:r>
          </w:p>
          <w:p w14:paraId="2E4C2C04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устройство систем:</w:t>
            </w:r>
          </w:p>
          <w:p w14:paraId="3B41710E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589AEEE1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4ACB0627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500мм.</w:t>
            </w:r>
          </w:p>
          <w:p w14:paraId="69B7ECE4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7A267E" w:rsidRPr="007A267E" w14:paraId="4EDF2F5C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0DA3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7A267E">
              <w:rPr>
                <w:rFonts w:ascii="Times New Roman" w:hAnsi="Times New Roman"/>
                <w:sz w:val="20"/>
                <w:szCs w:val="20"/>
                <w:lang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0E8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B1C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Теплоснабжение школы выполнить по независимому подключению к центральной системе теплоснабжения.</w:t>
            </w:r>
          </w:p>
          <w:p w14:paraId="2D28C2D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</w:t>
            </w: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независимую систему ГВС с рециркуляцией. Предусмотреть автоматизацию АТП в соответствии с действующими НТД.</w:t>
            </w:r>
          </w:p>
          <w:p w14:paraId="0FC782E2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Устройство ИТП выполнить в подвале школы.</w:t>
            </w:r>
          </w:p>
          <w:p w14:paraId="73F4C43B" w14:textId="77777777" w:rsidR="007A267E" w:rsidRPr="007A267E" w:rsidRDefault="007A267E" w:rsidP="007A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На вводе в АТП предусмотреть узел учета тепловой энергии.</w:t>
            </w:r>
          </w:p>
          <w:p w14:paraId="10190B1D" w14:textId="77777777" w:rsidR="007A267E" w:rsidRPr="007A267E" w:rsidRDefault="007A267E" w:rsidP="007A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Параметры теплоносителя из тепловых сетей принять  в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2BCC1EC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Параметры для системы отопления Т1 = 95 °С; Т2 =70 °С;</w:t>
            </w:r>
          </w:p>
          <w:p w14:paraId="50C6219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Циркуляционные насосы системы отопления и ГВС, должны иметь 100% резерв.</w:t>
            </w:r>
          </w:p>
          <w:p w14:paraId="5C049C5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Конструкцию насосов предусмотреть с «мокрым» ротором.</w:t>
            </w:r>
          </w:p>
          <w:p w14:paraId="37EF8031" w14:textId="77777777" w:rsidR="007A267E" w:rsidRPr="007A267E" w:rsidRDefault="007A267E" w:rsidP="007A26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7A159A8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Система отопления - двухтрубная.</w:t>
            </w:r>
          </w:p>
          <w:p w14:paraId="29D75A1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45A7B47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4DC3151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500D07B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  Нижние точки сетей оснастить запорной арматурой для спуска воды.</w:t>
            </w:r>
          </w:p>
          <w:p w14:paraId="1EEDFB0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   Предусмотреть мероприятия по борьбе с шумом и вибрацией в помещении АТП.</w:t>
            </w:r>
          </w:p>
          <w:p w14:paraId="2AC5206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6779D55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Предусмотреть покраску магистрали и стояков от коррозии, в соответствии с НТД.</w:t>
            </w:r>
          </w:p>
          <w:p w14:paraId="47FAE32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7EE8C92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Счетчик горячего водоснабжения предусмотреть с выводами для фиксации температуры горячего водоснабжения, объема, давления и т.д в соответствии с действующим НТД и подключением к тепло вычислителю.</w:t>
            </w:r>
          </w:p>
          <w:p w14:paraId="437A88C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t>На случаи прекращения работы ГВС в связи с аварийными отключениями, предусмотреть резервное ГВС в соответствии с действущей НТД от емкостных водонагревателей не более 100 литров.</w:t>
            </w:r>
          </w:p>
        </w:tc>
      </w:tr>
      <w:tr w:rsidR="007A267E" w:rsidRPr="007A267E" w14:paraId="01E87B43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C52B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267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0047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6EB9" w14:textId="77777777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ремонт системы вентиляции здания. Выполнить принудительную приточно-вытяжную вентиляцию в помещениях согласно действующей НТД.</w:t>
            </w:r>
          </w:p>
        </w:tc>
      </w:tr>
      <w:tr w:rsidR="007A267E" w:rsidRPr="007A267E" w14:paraId="45A7B1E5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7AD4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DE76B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BA8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7A267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соответствии с действующим законодательством.</w:t>
            </w:r>
          </w:p>
        </w:tc>
      </w:tr>
      <w:tr w:rsidR="007A267E" w:rsidRPr="007A267E" w14:paraId="5A73D77A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8AC3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83C40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42673" w14:textId="67E5AA04" w:rsidR="007A267E" w:rsidRPr="007A267E" w:rsidRDefault="007A267E" w:rsidP="007A267E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проектировании работ по капитальному ремонту учесть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 xml:space="preserve"> действующее законодательство.</w:t>
            </w:r>
          </w:p>
        </w:tc>
      </w:tr>
      <w:tr w:rsidR="007A267E" w:rsidRPr="007A267E" w14:paraId="6829FDEF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4B06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0E7A5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5CD7" w14:textId="77777777" w:rsidR="007A267E" w:rsidRPr="007A267E" w:rsidRDefault="007A267E" w:rsidP="007A267E">
            <w:pPr>
              <w:numPr>
                <w:ilvl w:val="0"/>
                <w:numId w:val="12"/>
              </w:numPr>
              <w:autoSpaceDE w:val="0"/>
              <w:spacing w:after="0" w:line="240" w:lineRule="auto"/>
              <w:ind w:left="152" w:firstLine="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7A7D6AE9" w14:textId="77777777" w:rsidR="007A267E" w:rsidRPr="007A267E" w:rsidRDefault="007A267E" w:rsidP="007A26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7B5F6F" w14:textId="77777777" w:rsidR="007A267E" w:rsidRPr="007A267E" w:rsidRDefault="007A267E" w:rsidP="007A267E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Систему охранной сигнализации выполнить в соответствии с действующим законодательством.  </w:t>
            </w:r>
          </w:p>
          <w:p w14:paraId="700909A7" w14:textId="77777777" w:rsidR="007A267E" w:rsidRPr="007A267E" w:rsidRDefault="007A267E" w:rsidP="007A267E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C42DD3" w14:textId="77777777" w:rsidR="007A267E" w:rsidRPr="007A267E" w:rsidRDefault="007A267E" w:rsidP="007A267E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Систему видеонаблюдения и охранного телевидения выполнить в соответствии с действующим законодательством.  </w:t>
            </w:r>
          </w:p>
          <w:p w14:paraId="721ECFB1" w14:textId="77777777" w:rsidR="007A267E" w:rsidRPr="007A267E" w:rsidRDefault="007A267E" w:rsidP="007A267E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192194" w14:textId="441B8DAF" w:rsidR="007A267E" w:rsidRPr="007A267E" w:rsidRDefault="007A267E" w:rsidP="007A267E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Автономную 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  </w:t>
            </w:r>
          </w:p>
        </w:tc>
      </w:tr>
      <w:tr w:rsidR="007A267E" w:rsidRPr="007A267E" w14:paraId="2D718E67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FAB7E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2C94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889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1. Раздел «Технологические решения» выполнить в соответствии  с объемом проводимых работ.</w:t>
            </w:r>
          </w:p>
        </w:tc>
      </w:tr>
      <w:tr w:rsidR="007A267E" w:rsidRPr="007A267E" w14:paraId="4AF18DE6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0C9D3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9DA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44F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Предусмотреть капитальный ремонт сетей водоснабжения и водоотведения в рамках участка до точки присоединения (согласно акта балансового разграничения).</w:t>
            </w:r>
          </w:p>
        </w:tc>
      </w:tr>
      <w:tr w:rsidR="007A267E" w:rsidRPr="007A267E" w14:paraId="6794ABCF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860D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5DD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C98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7A267E" w:rsidRPr="007A267E" w14:paraId="4834F5AB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22C1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217F0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132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 соответствии с паспортом энергосбережения и повышения энергетической эффективности.</w:t>
            </w:r>
          </w:p>
          <w:p w14:paraId="02C48528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7A267E" w:rsidRPr="007A267E" w14:paraId="79201D7E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8C6C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D9E9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8ED7" w14:textId="70174D03" w:rsidR="007A267E" w:rsidRPr="007A267E" w:rsidRDefault="007A267E" w:rsidP="007A2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ACCE16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F6ADEC2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Метод расчета сметной документации: базисно-индексный.</w:t>
            </w:r>
          </w:p>
          <w:p w14:paraId="51F09E3A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 составе сметной документации предусмотреть расчет стоимости:</w:t>
            </w:r>
          </w:p>
          <w:p w14:paraId="16F30A8A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•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ab/>
              <w:t>строительный контроль – 2,14%;</w:t>
            </w:r>
          </w:p>
          <w:p w14:paraId="04E80017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•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ab/>
              <w:t>непредвиденные затраты – 2%;</w:t>
            </w:r>
          </w:p>
          <w:p w14:paraId="53582F6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•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ab/>
              <w:t>транспортировки с последующей утилизацией всех строительных отходов полученных при демонтажных и монтажных работах.</w:t>
            </w:r>
          </w:p>
        </w:tc>
      </w:tr>
      <w:tr w:rsidR="007A267E" w:rsidRPr="007A267E" w14:paraId="2EED451D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8741E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B7ACB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73B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7A267E" w:rsidRPr="007A267E" w14:paraId="55E82BE8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2E05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5067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42B1" w14:textId="48F24F25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7A267E" w:rsidRPr="007A267E" w14:paraId="3A2B32B9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9588B" w14:textId="77777777" w:rsidR="007A267E" w:rsidRPr="007A267E" w:rsidRDefault="007A267E" w:rsidP="007A26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B09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выбору 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D133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7C234F6A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При выборе материалов, рекомендуется применять продукцию отечественного производства.</w:t>
            </w:r>
          </w:p>
          <w:p w14:paraId="71AAA28F" w14:textId="77777777" w:rsidR="007A267E" w:rsidRPr="007A267E" w:rsidRDefault="007A267E" w:rsidP="007A267E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Выбор материалов согласовать с Заказчиком.</w:t>
            </w:r>
          </w:p>
        </w:tc>
      </w:tr>
      <w:tr w:rsidR="007A267E" w:rsidRPr="007A267E" w14:paraId="548DEC43" w14:textId="77777777" w:rsidTr="007A267E">
        <w:trPr>
          <w:trHeight w:val="58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91A2" w14:textId="6F544B65" w:rsidR="007A267E" w:rsidRPr="007A267E" w:rsidRDefault="007A267E" w:rsidP="007A267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>ДОПОЛНИТЕЛЬНЫЕ ТРЕБОВАНИЯ</w:t>
            </w:r>
          </w:p>
        </w:tc>
      </w:tr>
      <w:tr w:rsidR="007A267E" w:rsidRPr="007A267E" w14:paraId="6CD2B1C0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9C35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7D3D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5AC9" w14:textId="77777777" w:rsidR="007A267E" w:rsidRPr="007A267E" w:rsidRDefault="007A267E" w:rsidP="007A26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7E" w:rsidRPr="007A267E" w14:paraId="5ABE5E79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FFB2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2DB3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044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62EA8A0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 </w:t>
            </w:r>
          </w:p>
        </w:tc>
      </w:tr>
      <w:tr w:rsidR="007A267E" w:rsidRPr="007A267E" w14:paraId="3BC48C5E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34AD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C030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EE7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7A267E">
              <w:rPr>
                <w:rFonts w:ascii="Times New Roman" w:hAnsi="Times New Roman"/>
                <w:sz w:val="20"/>
                <w:szCs w:val="20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57FF37C1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Согласовать проектное решение фасада с Заказчиком.</w:t>
            </w:r>
          </w:p>
          <w:p w14:paraId="750ADB19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3C84552E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7A267E" w:rsidRPr="007A267E" w14:paraId="5E6B9853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D700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0792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Иная документация. </w:t>
            </w:r>
          </w:p>
          <w:p w14:paraId="6E914D85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CD4B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7A267E" w:rsidRPr="007A267E" w14:paraId="65A54127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9F70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6C1F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Требования к  оформлению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B25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73FA553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7A267E" w:rsidRPr="007A267E" w14:paraId="05B25C7F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6B55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6084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C349" w14:textId="5242EB2D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В течение 120 календарных дней </w:t>
            </w:r>
          </w:p>
          <w:p w14:paraId="1EAD9ED0" w14:textId="77777777" w:rsidR="007A267E" w:rsidRPr="007A267E" w:rsidRDefault="007A267E" w:rsidP="007A267E">
            <w:pPr>
              <w:widowControl w:val="0"/>
              <w:suppressAutoHyphens/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A267E" w:rsidRPr="007A267E" w14:paraId="3E7CD79D" w14:textId="77777777" w:rsidTr="008224C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19D4" w14:textId="77777777" w:rsidR="007A267E" w:rsidRPr="007A267E" w:rsidRDefault="007A267E" w:rsidP="007A267E">
            <w:pPr>
              <w:numPr>
                <w:ilvl w:val="0"/>
                <w:numId w:val="1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29B80" w14:textId="77777777" w:rsidR="007A267E" w:rsidRPr="007A267E" w:rsidRDefault="007A267E" w:rsidP="007A267E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Порядок сдачи работы</w:t>
            </w:r>
          </w:p>
          <w:p w14:paraId="20247443" w14:textId="77777777" w:rsidR="007A267E" w:rsidRPr="007A267E" w:rsidRDefault="007A267E" w:rsidP="007A267E">
            <w:pPr>
              <w:spacing w:after="0" w:line="240" w:lineRule="auto"/>
              <w:ind w:firstLine="154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046F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По результату выполненных работ передать Заказчику:</w:t>
            </w:r>
          </w:p>
          <w:p w14:paraId="09EFE4DA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- 4 экземпляра рабочей документации  на бумажном носителе;</w:t>
            </w:r>
          </w:p>
          <w:p w14:paraId="532B4075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- 2 экземпляра проектной документации стадия П на бумажном носителе;</w:t>
            </w:r>
          </w:p>
          <w:p w14:paraId="3D54AA5C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- 4 экземпляра сметной документации на бумажном носителе.</w:t>
            </w:r>
          </w:p>
          <w:p w14:paraId="74186DCD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68393E44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Программный сметный  файл должен открываться программным комплексом «Гранд-смета».</w:t>
            </w:r>
          </w:p>
          <w:p w14:paraId="7716AD03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3BF84506" w14:textId="77777777" w:rsidR="007A267E" w:rsidRPr="007A267E" w:rsidRDefault="007A267E" w:rsidP="007A267E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67E">
              <w:rPr>
                <w:rFonts w:ascii="Times New Roman" w:hAnsi="Times New Roman"/>
                <w:sz w:val="20"/>
                <w:szCs w:val="20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57AE187E" w14:textId="77777777" w:rsidR="006E20B6" w:rsidRPr="00E04817" w:rsidRDefault="006E20B6" w:rsidP="007A267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4144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41</cp:revision>
  <cp:lastPrinted>2022-02-16T04:01:00Z</cp:lastPrinted>
  <dcterms:created xsi:type="dcterms:W3CDTF">2022-01-21T03:28:00Z</dcterms:created>
  <dcterms:modified xsi:type="dcterms:W3CDTF">2022-04-25T08:52:00Z</dcterms:modified>
</cp:coreProperties>
</file>