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07D80B61" w14:textId="1D27B8C3" w:rsidR="00D15D09"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FA5267">
        <w:rPr>
          <w:sz w:val="24"/>
          <w:szCs w:val="24"/>
        </w:rPr>
        <w:t>–</w:t>
      </w:r>
      <w:r w:rsidR="00BF1069">
        <w:rPr>
          <w:sz w:val="24"/>
          <w:szCs w:val="24"/>
        </w:rPr>
        <w:t xml:space="preserve"> </w:t>
      </w:r>
      <w:r w:rsidR="00FA5267" w:rsidRPr="00FA5267">
        <w:rPr>
          <w:sz w:val="24"/>
          <w:szCs w:val="24"/>
        </w:rPr>
        <w:t>223220901950422090100100180012630244</w:t>
      </w:r>
    </w:p>
    <w:p w14:paraId="497EEC4F" w14:textId="77777777" w:rsidR="00FA5267" w:rsidRPr="003E03F3" w:rsidRDefault="00FA5267"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4DA1303D"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D82A0E" w:rsidRPr="00D82A0E">
        <w:rPr>
          <w:sz w:val="24"/>
          <w:szCs w:val="24"/>
        </w:rPr>
        <w:t>промышленную электрическую сирену</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 xml:space="preserve">(далее - товар) в установленный Контрактом срок, а Заказчик обязуется принять товар надлежащего качества и количества и обеспечить его оплату в порядке </w:t>
      </w:r>
      <w:r w:rsidR="00AF0B19" w:rsidRPr="003E03F3">
        <w:rPr>
          <w:sz w:val="24"/>
          <w:szCs w:val="24"/>
        </w:rPr>
        <w:t>и условиях</w:t>
      </w:r>
      <w:r w:rsidRPr="003E03F3">
        <w:rPr>
          <w:sz w:val="24"/>
          <w:szCs w:val="24"/>
        </w:rPr>
        <w:t>,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1DE67904"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00D233E2">
        <w:rPr>
          <w:sz w:val="24"/>
          <w:szCs w:val="24"/>
        </w:rPr>
        <w:t xml:space="preserve"> </w:t>
      </w:r>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lastRenderedPageBreak/>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3E03F3">
        <w:rPr>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388B0B" w:rsid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EDE1F6F" w14:textId="6125C7BE" w:rsidR="00264F89" w:rsidRPr="00264F89" w:rsidRDefault="00264F89" w:rsidP="00264F89">
      <w:pPr>
        <w:autoSpaceDE w:val="0"/>
        <w:autoSpaceDN w:val="0"/>
        <w:adjustRightInd w:val="0"/>
        <w:spacing w:line="240" w:lineRule="auto"/>
        <w:ind w:firstLine="539"/>
        <w:rPr>
          <w:sz w:val="24"/>
          <w:szCs w:val="24"/>
        </w:rPr>
      </w:pPr>
      <w:r w:rsidRPr="00264F89">
        <w:rPr>
          <w:sz w:val="24"/>
          <w:szCs w:val="24"/>
        </w:rPr>
        <w:t>5.4. Гарантийный срок Товара, установленный Поставщиком на Товар, составляет не менее 12 месяцев и исчисляется с момента подписания Сторонами документа о приемке</w:t>
      </w:r>
      <w:r>
        <w:rPr>
          <w:sz w:val="24"/>
          <w:szCs w:val="24"/>
        </w:rPr>
        <w:t xml:space="preserve"> </w:t>
      </w:r>
      <w:r w:rsidRPr="00264F89">
        <w:rPr>
          <w:sz w:val="24"/>
          <w:szCs w:val="24"/>
        </w:rPr>
        <w:t>Товара</w:t>
      </w:r>
      <w:r>
        <w:rPr>
          <w:sz w:val="24"/>
          <w:szCs w:val="24"/>
        </w:rPr>
        <w:t>.</w:t>
      </w:r>
    </w:p>
    <w:p w14:paraId="5A68E3A7" w14:textId="77777777" w:rsidR="00264F89" w:rsidRPr="00264F89" w:rsidRDefault="00264F89" w:rsidP="00264F89">
      <w:pPr>
        <w:autoSpaceDE w:val="0"/>
        <w:autoSpaceDN w:val="0"/>
        <w:adjustRightInd w:val="0"/>
        <w:spacing w:line="240" w:lineRule="auto"/>
        <w:ind w:firstLine="539"/>
        <w:rPr>
          <w:sz w:val="24"/>
          <w:szCs w:val="24"/>
        </w:rPr>
      </w:pPr>
      <w:r w:rsidRPr="00264F89">
        <w:rPr>
          <w:sz w:val="24"/>
          <w:szCs w:val="24"/>
        </w:rPr>
        <w:t>Поставщик предоставляет гарантию производителя Товара не менее 12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4F3B2A5E" w14:textId="259B6442" w:rsidR="00264F89" w:rsidRDefault="00264F89" w:rsidP="00264F89">
      <w:pPr>
        <w:autoSpaceDE w:val="0"/>
        <w:autoSpaceDN w:val="0"/>
        <w:adjustRightInd w:val="0"/>
        <w:spacing w:line="240" w:lineRule="auto"/>
        <w:ind w:firstLine="539"/>
        <w:rPr>
          <w:sz w:val="24"/>
          <w:szCs w:val="24"/>
        </w:rPr>
      </w:pPr>
      <w:r w:rsidRPr="00264F89">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70EDAD1" w14:textId="77777777" w:rsidR="008C29E6" w:rsidRDefault="008C29E6" w:rsidP="008C29E6">
      <w:pPr>
        <w:autoSpaceDE w:val="0"/>
        <w:autoSpaceDN w:val="0"/>
        <w:adjustRightInd w:val="0"/>
        <w:spacing w:line="240" w:lineRule="auto"/>
        <w:ind w:firstLine="539"/>
        <w:rPr>
          <w:sz w:val="24"/>
          <w:szCs w:val="24"/>
        </w:rPr>
      </w:pPr>
      <w:r>
        <w:rPr>
          <w:sz w:val="24"/>
          <w:szCs w:val="24"/>
        </w:rPr>
        <w:t xml:space="preserve">5.5. </w:t>
      </w:r>
      <w:r w:rsidRPr="008C29E6">
        <w:rPr>
          <w:sz w:val="24"/>
          <w:szCs w:val="24"/>
        </w:rPr>
        <w:t xml:space="preserve">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w:t>
      </w:r>
    </w:p>
    <w:p w14:paraId="22968436" w14:textId="44C00F11" w:rsidR="008C29E6" w:rsidRPr="008C29E6" w:rsidRDefault="008C29E6" w:rsidP="008C29E6">
      <w:pPr>
        <w:autoSpaceDE w:val="0"/>
        <w:autoSpaceDN w:val="0"/>
        <w:adjustRightInd w:val="0"/>
        <w:spacing w:line="240" w:lineRule="auto"/>
        <w:ind w:firstLine="539"/>
        <w:rPr>
          <w:sz w:val="24"/>
          <w:szCs w:val="24"/>
        </w:rPr>
      </w:pPr>
      <w:r w:rsidRPr="008C29E6">
        <w:rPr>
          <w:sz w:val="24"/>
          <w:szCs w:val="24"/>
        </w:rPr>
        <w:t>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35AC218" w14:textId="77777777" w:rsidR="008C29E6" w:rsidRPr="008C29E6" w:rsidRDefault="008C29E6" w:rsidP="008C29E6">
      <w:pPr>
        <w:autoSpaceDE w:val="0"/>
        <w:autoSpaceDN w:val="0"/>
        <w:adjustRightInd w:val="0"/>
        <w:spacing w:line="240" w:lineRule="auto"/>
        <w:ind w:firstLine="539"/>
        <w:rPr>
          <w:sz w:val="24"/>
          <w:szCs w:val="24"/>
        </w:rPr>
      </w:pPr>
      <w:r w:rsidRPr="008C29E6">
        <w:rPr>
          <w:sz w:val="24"/>
          <w:szCs w:val="24"/>
        </w:rPr>
        <w:t>При этом срок гарантии на замененный товар устанавливается Поставщиком не менее срока, указанного в пункте 5.4 Контракта.</w:t>
      </w:r>
    </w:p>
    <w:p w14:paraId="5561FDBC" w14:textId="4BD4C838" w:rsidR="008C29E6" w:rsidRPr="003E03F3" w:rsidRDefault="008C29E6" w:rsidP="008C29E6">
      <w:pPr>
        <w:autoSpaceDE w:val="0"/>
        <w:autoSpaceDN w:val="0"/>
        <w:adjustRightInd w:val="0"/>
        <w:spacing w:line="240" w:lineRule="auto"/>
        <w:ind w:firstLine="539"/>
        <w:rPr>
          <w:sz w:val="24"/>
          <w:szCs w:val="24"/>
        </w:rPr>
      </w:pPr>
      <w:r w:rsidRPr="008C29E6">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w:t>
      </w:r>
      <w:r w:rsidRPr="003E03F3">
        <w:rPr>
          <w:sz w:val="24"/>
          <w:szCs w:val="24"/>
        </w:rP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3E03F3">
        <w:rPr>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Pr="00750E58" w:rsidRDefault="00C91B8F" w:rsidP="00C91B8F">
      <w:pPr>
        <w:autoSpaceDE w:val="0"/>
        <w:autoSpaceDN w:val="0"/>
        <w:adjustRightInd w:val="0"/>
        <w:spacing w:line="240" w:lineRule="auto"/>
        <w:contextualSpacing/>
        <w:rPr>
          <w:b/>
          <w:bCs/>
          <w:sz w:val="24"/>
          <w:szCs w:val="24"/>
        </w:rPr>
      </w:pPr>
      <w:r w:rsidRPr="00750E58">
        <w:rPr>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4350D3D"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750E58"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 xml:space="preserve">и (или) возмещения убытков, либо иной суммы </w:t>
      </w:r>
      <w:r w:rsidRPr="003E03F3">
        <w:rPr>
          <w:sz w:val="24"/>
          <w:szCs w:val="22"/>
        </w:rPr>
        <w:lastRenderedPageBreak/>
        <w:t>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w:t>
      </w:r>
      <w:r w:rsidRPr="003E03F3">
        <w:rPr>
          <w:sz w:val="24"/>
          <w:szCs w:val="24"/>
        </w:rPr>
        <w:lastRenderedPageBreak/>
        <w:t>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BAAF07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8D3E81">
        <w:rPr>
          <w:sz w:val="24"/>
          <w:szCs w:val="24"/>
        </w:rPr>
        <w:t xml:space="preserve"> (Приложение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1BB7107F"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lastRenderedPageBreak/>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AF0B19" w:rsidRDefault="003E03F3" w:rsidP="00541BF2">
            <w:pPr>
              <w:spacing w:line="240" w:lineRule="auto"/>
              <w:ind w:firstLine="0"/>
              <w:jc w:val="left"/>
              <w:rPr>
                <w:sz w:val="22"/>
                <w:szCs w:val="22"/>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24BFF649"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96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4F89"/>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0E58"/>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D7F"/>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3E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29E6"/>
    <w:rsid w:val="008C576A"/>
    <w:rsid w:val="008C5D73"/>
    <w:rsid w:val="008C6875"/>
    <w:rsid w:val="008C695F"/>
    <w:rsid w:val="008D0455"/>
    <w:rsid w:val="008D0BA7"/>
    <w:rsid w:val="008D1CBA"/>
    <w:rsid w:val="008D2392"/>
    <w:rsid w:val="008D3E81"/>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B19"/>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1069"/>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3E2"/>
    <w:rsid w:val="00D23660"/>
    <w:rsid w:val="00D30164"/>
    <w:rsid w:val="00D311F1"/>
    <w:rsid w:val="00D33FF3"/>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A0E"/>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5267"/>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5615</Words>
  <Characters>41384</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46906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31</cp:revision>
  <cp:lastPrinted>2022-01-27T07:16:00Z</cp:lastPrinted>
  <dcterms:created xsi:type="dcterms:W3CDTF">2022-01-25T06:50:00Z</dcterms:created>
  <dcterms:modified xsi:type="dcterms:W3CDTF">2022-05-24T01:57:00Z</dcterms:modified>
</cp:coreProperties>
</file>