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74AFADC8" w:rsidR="00E76F91" w:rsidRPr="001E7FB1" w:rsidRDefault="00E76F91" w:rsidP="001E7FB1">
      <w:pPr>
        <w:jc w:val="right"/>
        <w:rPr>
          <w:b/>
          <w:i/>
        </w:rPr>
      </w:pPr>
      <w:r w:rsidRPr="001E7FB1">
        <w:rPr>
          <w:b/>
          <w:i/>
        </w:rPr>
        <w:t>Приложение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7CA2C421" w14:textId="67DA81CB" w:rsidR="0074703B" w:rsidRPr="001E7FB1" w:rsidRDefault="0074703B" w:rsidP="001E7FB1">
      <w:pPr>
        <w:jc w:val="center"/>
      </w:pPr>
      <w:r w:rsidRPr="001E7FB1">
        <w:rPr>
          <w:lang w:eastAsia="zh-CN"/>
        </w:rPr>
        <w:t xml:space="preserve">Идентификационный код закупки – </w:t>
      </w:r>
      <w:r w:rsidR="00D23522" w:rsidRPr="00D23522">
        <w:rPr>
          <w:lang w:eastAsia="zh-CN"/>
        </w:rPr>
        <w:t>2432209011079220901001000500</w:t>
      </w:r>
      <w:r w:rsidR="00D23522">
        <w:rPr>
          <w:lang w:eastAsia="zh-CN"/>
        </w:rPr>
        <w:t>1</w:t>
      </w:r>
      <w:r w:rsidR="00D23522" w:rsidRPr="00D23522">
        <w:rPr>
          <w:lang w:eastAsia="zh-CN"/>
        </w:rPr>
        <w:t>4211244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3DB7BCE0" w:rsidR="0074703B" w:rsidRPr="001E7FB1" w:rsidRDefault="0074703B" w:rsidP="001E7FB1">
            <w:pPr>
              <w:suppressAutoHyphens/>
              <w:jc w:val="right"/>
              <w:rPr>
                <w:b/>
                <w:bCs/>
                <w:lang w:eastAsia="zh-CN"/>
              </w:rPr>
            </w:pPr>
            <w:r w:rsidRPr="001E7FB1">
              <w:rPr>
                <w:lang w:eastAsia="zh-CN"/>
              </w:rPr>
              <w:t>«___» _______202</w:t>
            </w:r>
            <w:r w:rsidR="00934C80">
              <w:rPr>
                <w:lang w:eastAsia="zh-CN"/>
              </w:rPr>
              <w:t>4</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17C80722"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6FC6533A" w14:textId="77777777" w:rsidR="009A7F18" w:rsidRPr="005123DE" w:rsidRDefault="009A7F18" w:rsidP="0074703B">
      <w:pPr>
        <w:ind w:firstLine="708"/>
        <w:jc w:val="both"/>
        <w:rPr>
          <w:color w:val="000000"/>
          <w:kern w:val="16"/>
        </w:rPr>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51E2E1FE"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D23522">
        <w:t>нанесению дорожной разметки в городе Рубцовске в 2024 году</w:t>
      </w:r>
      <w:r w:rsidR="00100573" w:rsidRPr="00100573">
        <w:t xml:space="preserve">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r w:rsidRPr="00A42A47">
        <w:t xml:space="preserve"> № 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0693FAF"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048CEAB8"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934C80" w:rsidRPr="00934C80">
        <w:rPr>
          <w:color w:val="000000"/>
        </w:rPr>
        <w:t xml:space="preserve">улично-дорожная сеть города </w:t>
      </w:r>
      <w:bookmarkStart w:id="0" w:name="_Hlk132037250"/>
      <w:r w:rsidR="00D23522">
        <w:t xml:space="preserve">согласно перечням (Таблицы 1.1-1.5 Приложения № </w:t>
      </w:r>
      <w:r w:rsidR="008A6E4C">
        <w:t>1</w:t>
      </w:r>
      <w:r w:rsidR="00D23522">
        <w:t>)</w:t>
      </w:r>
      <w:bookmarkEnd w:id="0"/>
      <w:r w:rsidR="00934C80" w:rsidRPr="00934C80">
        <w:rPr>
          <w:color w:val="000000"/>
        </w:rPr>
        <w:t>.</w:t>
      </w:r>
    </w:p>
    <w:p w14:paraId="45A162BA" w14:textId="77777777" w:rsidR="009A7F18" w:rsidRPr="008F062E" w:rsidRDefault="009A7F18" w:rsidP="0074703B">
      <w:pPr>
        <w:pStyle w:val="docdata"/>
        <w:spacing w:before="0" w:beforeAutospacing="0" w:after="0" w:afterAutospacing="0"/>
        <w:ind w:firstLine="709"/>
        <w:jc w:val="both"/>
        <w:rPr>
          <w:color w:val="000000"/>
        </w:rPr>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1"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1"/>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Default="008A7628" w:rsidP="008A7628">
      <w:pPr>
        <w:widowControl w:val="0"/>
        <w:autoSpaceDE w:val="0"/>
        <w:autoSpaceDN w:val="0"/>
        <w:adjustRightInd w:val="0"/>
        <w:ind w:firstLine="709"/>
        <w:contextualSpacing/>
        <w:jc w:val="both"/>
      </w:pPr>
      <w:r>
        <w:lastRenderedPageBreak/>
        <w:t>2.</w:t>
      </w:r>
      <w:r w:rsidR="00A26BEE">
        <w:t>3</w:t>
      </w:r>
      <w:r>
        <w:t>.2.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666ACF38" w:rsidR="00500463" w:rsidRDefault="00500463" w:rsidP="00100573">
      <w:pPr>
        <w:widowControl w:val="0"/>
        <w:autoSpaceDE w:val="0"/>
        <w:autoSpaceDN w:val="0"/>
        <w:adjustRightInd w:val="0"/>
        <w:ind w:firstLine="709"/>
        <w:contextualSpacing/>
        <w:jc w:val="both"/>
      </w:pPr>
      <w:r>
        <w:t xml:space="preserve">КБК: </w:t>
      </w:r>
      <w:r w:rsidR="009A7F18">
        <w:t>______________________________</w:t>
      </w:r>
      <w:r w:rsidR="00100573">
        <w:t>.</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659A9DE4"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2A9C96D1"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52A0C6" w14:textId="77777777" w:rsidR="009A7F18" w:rsidRPr="005123DE" w:rsidRDefault="009A7F18"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lastRenderedPageBreak/>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12E2934"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17112450"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C577DE0"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14:paraId="77FC6DAB" w14:textId="74E8CC09"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6CECC057" w:rsidR="00B52B96" w:rsidRPr="00622963" w:rsidRDefault="005E6B06" w:rsidP="005E6B06">
      <w:pPr>
        <w:autoSpaceDE w:val="0"/>
        <w:autoSpaceDN w:val="0"/>
        <w:adjustRightInd w:val="0"/>
        <w:ind w:firstLine="709"/>
        <w:contextualSpacing/>
        <w:jc w:val="both"/>
      </w:pPr>
      <w:r w:rsidRPr="005E6B06">
        <w:t>3.4.</w:t>
      </w:r>
      <w:r w:rsidR="00D57980">
        <w:t>8</w:t>
      </w:r>
      <w:r w:rsidRPr="005E6B06">
        <w:t>.</w:t>
      </w:r>
      <w:r w:rsidRPr="005E6B06">
        <w:tab/>
      </w:r>
      <w:r>
        <w:t xml:space="preserve">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w:t>
      </w:r>
      <w:r>
        <w:lastRenderedPageBreak/>
        <w:t>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FAB469A"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0A0915F5"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r w:rsidR="00500463" w:rsidRPr="00D57980">
        <w:rPr>
          <w:sz w:val="24"/>
          <w:szCs w:val="24"/>
        </w:rPr>
        <w:t xml:space="preserve">с </w:t>
      </w:r>
      <w:r w:rsidR="00F37621" w:rsidRPr="00D57980">
        <w:rPr>
          <w:sz w:val="24"/>
          <w:szCs w:val="24"/>
        </w:rPr>
        <w:t>даты заключения Контракта</w:t>
      </w:r>
      <w:r w:rsidR="00500463" w:rsidRPr="00D57980">
        <w:rPr>
          <w:sz w:val="24"/>
          <w:szCs w:val="24"/>
        </w:rPr>
        <w:t xml:space="preserve"> </w:t>
      </w:r>
      <w:r w:rsidR="00100573" w:rsidRPr="00D57980">
        <w:rPr>
          <w:sz w:val="24"/>
          <w:szCs w:val="24"/>
        </w:rPr>
        <w:t xml:space="preserve">по </w:t>
      </w:r>
      <w:r w:rsidR="00D23522">
        <w:rPr>
          <w:sz w:val="24"/>
          <w:szCs w:val="24"/>
        </w:rPr>
        <w:t>27</w:t>
      </w:r>
      <w:r w:rsidR="00100573" w:rsidRPr="00D57980">
        <w:rPr>
          <w:sz w:val="24"/>
          <w:szCs w:val="24"/>
        </w:rPr>
        <w:t>.</w:t>
      </w:r>
      <w:r w:rsidR="00D23522">
        <w:rPr>
          <w:sz w:val="24"/>
          <w:szCs w:val="24"/>
        </w:rPr>
        <w:t>08</w:t>
      </w:r>
      <w:r w:rsidR="00100573" w:rsidRPr="00D57980">
        <w:rPr>
          <w:sz w:val="24"/>
          <w:szCs w:val="24"/>
        </w:rPr>
        <w:t>.2024.</w:t>
      </w:r>
    </w:p>
    <w:p w14:paraId="199C0AE2" w14:textId="7D38B253" w:rsidR="00D23522" w:rsidRDefault="00DE44A5" w:rsidP="00D57980">
      <w:pPr>
        <w:pStyle w:val="a3"/>
        <w:numPr>
          <w:ilvl w:val="1"/>
          <w:numId w:val="3"/>
        </w:numPr>
        <w:ind w:left="0" w:firstLine="710"/>
        <w:jc w:val="both"/>
        <w:rPr>
          <w:sz w:val="24"/>
          <w:szCs w:val="24"/>
        </w:rPr>
      </w:pPr>
      <w:r>
        <w:rPr>
          <w:sz w:val="24"/>
          <w:szCs w:val="24"/>
        </w:rPr>
        <w:t>С</w:t>
      </w:r>
      <w:r w:rsidR="00D23522">
        <w:rPr>
          <w:sz w:val="24"/>
          <w:szCs w:val="24"/>
        </w:rPr>
        <w:t xml:space="preserve"> даты заключения Контракта до 01.06.2024</w:t>
      </w:r>
      <w:r w:rsidR="00E52975">
        <w:rPr>
          <w:sz w:val="24"/>
          <w:szCs w:val="24"/>
        </w:rPr>
        <w:t xml:space="preserve"> наносится дорожная разметка, указанная в таблицах 1.1</w:t>
      </w:r>
      <w:r w:rsidR="00510430">
        <w:rPr>
          <w:sz w:val="24"/>
          <w:szCs w:val="24"/>
        </w:rPr>
        <w:t xml:space="preserve"> -</w:t>
      </w:r>
      <w:r w:rsidR="00E52975">
        <w:rPr>
          <w:sz w:val="24"/>
          <w:szCs w:val="24"/>
        </w:rPr>
        <w:t xml:space="preserve"> 1.5;</w:t>
      </w:r>
    </w:p>
    <w:p w14:paraId="0FCFE10D" w14:textId="3130E2B9" w:rsidR="00E52975" w:rsidRPr="00D57980" w:rsidRDefault="00E52975" w:rsidP="00E52975">
      <w:pPr>
        <w:pStyle w:val="a3"/>
        <w:ind w:left="0" w:firstLine="709"/>
        <w:jc w:val="both"/>
        <w:rPr>
          <w:sz w:val="24"/>
          <w:szCs w:val="24"/>
        </w:rPr>
      </w:pPr>
      <w:r>
        <w:rPr>
          <w:sz w:val="24"/>
          <w:szCs w:val="24"/>
        </w:rPr>
        <w:t xml:space="preserve">           </w:t>
      </w:r>
      <w:r w:rsidR="00DE44A5">
        <w:rPr>
          <w:sz w:val="24"/>
          <w:szCs w:val="24"/>
        </w:rPr>
        <w:t>С</w:t>
      </w:r>
      <w:r>
        <w:rPr>
          <w:sz w:val="24"/>
          <w:szCs w:val="24"/>
        </w:rPr>
        <w:t xml:space="preserve"> 01.08.2024 по 27.08.2024 наносится дорожная разметка, указанная в таблице 1.</w:t>
      </w:r>
      <w:r w:rsidR="00781BFF">
        <w:rPr>
          <w:sz w:val="24"/>
          <w:szCs w:val="24"/>
        </w:rPr>
        <w:t>3.</w:t>
      </w:r>
    </w:p>
    <w:p w14:paraId="063949B7" w14:textId="77777777"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4DE08461" w14:textId="6AB7C62C"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14:paraId="28A01BCF" w14:textId="39436CF5"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00EEA56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E4BE8E2" w14:textId="77777777" w:rsidR="009A7F18" w:rsidRDefault="009A7F18" w:rsidP="004710A0">
      <w:pPr>
        <w:shd w:val="clear" w:color="auto" w:fill="FFFFFF"/>
        <w:tabs>
          <w:tab w:val="left" w:pos="1260"/>
        </w:tabs>
        <w:ind w:firstLine="709"/>
        <w:jc w:val="both"/>
        <w:rPr>
          <w:color w:val="000000"/>
        </w:rPr>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69022DB4" w14:textId="77777777" w:rsidR="004D32DB" w:rsidRPr="00222DE6" w:rsidRDefault="004D32DB" w:rsidP="004D32DB">
      <w:pPr>
        <w:shd w:val="clear" w:color="auto" w:fill="FFFFFF"/>
        <w:tabs>
          <w:tab w:val="left" w:pos="1498"/>
        </w:tabs>
        <w:ind w:firstLine="709"/>
        <w:jc w:val="both"/>
      </w:pPr>
      <w:r w:rsidRPr="00222DE6">
        <w:t>6.1.</w:t>
      </w:r>
      <w:r w:rsidRPr="00222DE6">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13A04974" w14:textId="77777777" w:rsidR="004D32DB" w:rsidRDefault="004D32DB" w:rsidP="004D32DB">
      <w:pPr>
        <w:shd w:val="clear" w:color="auto" w:fill="FFFFFF"/>
        <w:tabs>
          <w:tab w:val="left" w:pos="1498"/>
        </w:tabs>
        <w:ind w:firstLine="709"/>
        <w:jc w:val="both"/>
      </w:pPr>
      <w:r w:rsidRPr="00222DE6">
        <w:t>6.2.</w:t>
      </w:r>
      <w:r w:rsidRPr="00222DE6">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r>
        <w:t>.</w:t>
      </w:r>
    </w:p>
    <w:p w14:paraId="1939DAE7" w14:textId="77777777" w:rsidR="009A7F18" w:rsidRPr="00E05E24" w:rsidRDefault="009A7F18" w:rsidP="001E7FB1">
      <w:pPr>
        <w:pStyle w:val="51"/>
        <w:shd w:val="clear" w:color="auto" w:fill="FFFFFF"/>
        <w:tabs>
          <w:tab w:val="left" w:pos="1276"/>
          <w:tab w:val="left" w:pos="1498"/>
        </w:tabs>
        <w:ind w:left="0" w:firstLine="709"/>
        <w:contextualSpacing/>
        <w:jc w:val="both"/>
      </w:pP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100573">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lastRenderedPageBreak/>
        <w:t>КС 03232643017160001700</w:t>
      </w:r>
    </w:p>
    <w:p w14:paraId="69E33658" w14:textId="77777777" w:rsidR="006724B7" w:rsidRDefault="006724B7" w:rsidP="00100573">
      <w:pPr>
        <w:tabs>
          <w:tab w:val="num" w:pos="0"/>
        </w:tabs>
        <w:contextualSpacing/>
        <w:jc w:val="both"/>
      </w:pPr>
      <w:r>
        <w:t>КБК 30330399040040000180.</w:t>
      </w:r>
    </w:p>
    <w:p w14:paraId="4CA8B020" w14:textId="7B21268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100573">
        <w:t xml:space="preserve">    </w:t>
      </w:r>
      <w:r w:rsidR="00D57980">
        <w:t>________________________</w:t>
      </w:r>
      <w:r w:rsidR="00100573" w:rsidRPr="00100573">
        <w:t xml:space="preserve"> </w:t>
      </w:r>
      <w:r>
        <w:t>(</w:t>
      </w:r>
      <w:r w:rsidR="007F682E">
        <w:t>10</w:t>
      </w:r>
      <w:r>
        <w:t>% цены контракта).</w:t>
      </w:r>
    </w:p>
    <w:p w14:paraId="41D03E72" w14:textId="302A46B9" w:rsidR="00D57980" w:rsidRDefault="00D57980" w:rsidP="006F1F21">
      <w:pPr>
        <w:tabs>
          <w:tab w:val="num" w:pos="0"/>
        </w:tabs>
        <w:ind w:firstLine="709"/>
        <w:contextualSpacing/>
        <w:jc w:val="both"/>
      </w:pPr>
      <w:r w:rsidRPr="00D57980">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lastRenderedPageBreak/>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w:t>
      </w:r>
      <w:r>
        <w:lastRenderedPageBreak/>
        <w:t>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FBF180F" w14:textId="77777777"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14:paraId="66633C8F" w14:textId="77777777" w:rsidR="006724B7" w:rsidRDefault="006724B7" w:rsidP="009B2FBC">
      <w:pPr>
        <w:tabs>
          <w:tab w:val="num" w:pos="0"/>
        </w:tabs>
        <w:ind w:firstLine="709"/>
        <w:contextualSpacing/>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lastRenderedPageBreak/>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lastRenderedPageBreak/>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5B8F7EE6"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041320" w14:textId="77777777" w:rsidR="009A7F18" w:rsidRDefault="009A7F18" w:rsidP="009B2FBC">
      <w:pPr>
        <w:tabs>
          <w:tab w:val="num" w:pos="0"/>
        </w:tabs>
        <w:ind w:firstLine="709"/>
        <w:contextualSpacing/>
        <w:jc w:val="both"/>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565E76BC"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0FDE869" w14:textId="77777777" w:rsidR="009A7F18" w:rsidRPr="00CC6B3B" w:rsidRDefault="009A7F18" w:rsidP="009A7F18">
      <w:pPr>
        <w:ind w:left="709"/>
        <w:jc w:val="both"/>
        <w:rPr>
          <w:color w:val="000000"/>
        </w:rPr>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52871063" w14:textId="27C9BD04" w:rsidR="0074703B" w:rsidRDefault="0074703B" w:rsidP="0074703B">
      <w:pPr>
        <w:autoSpaceDE w:val="0"/>
        <w:autoSpaceDN w:val="0"/>
        <w:adjustRightInd w:val="0"/>
        <w:ind w:firstLine="720"/>
        <w:jc w:val="both"/>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1651721" w14:textId="77777777" w:rsidR="009A7F18" w:rsidRPr="005123DE" w:rsidRDefault="009A7F18" w:rsidP="0074703B">
      <w:pPr>
        <w:autoSpaceDE w:val="0"/>
        <w:autoSpaceDN w:val="0"/>
        <w:adjustRightInd w:val="0"/>
        <w:ind w:firstLine="720"/>
        <w:jc w:val="both"/>
        <w:rPr>
          <w:iCs/>
        </w:rPr>
      </w:pP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lastRenderedPageBreak/>
        <w:t>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Default="00CC6B3B" w:rsidP="00CC6B3B">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Default="00425FFC" w:rsidP="00CC6B3B">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4D6E260B" w:rsidR="00425FFC" w:rsidRDefault="00425FFC" w:rsidP="00425FFC">
      <w:pPr>
        <w:ind w:firstLine="709"/>
        <w:jc w:val="both"/>
      </w:pPr>
      <w:bookmarkStart w:id="2" w:name="_Hlk121839597"/>
      <w:r w:rsidRPr="00425FFC">
        <w:t xml:space="preserve">Локальный сметный расчёт </w:t>
      </w:r>
      <w:r>
        <w:t>(Приложение №2)</w:t>
      </w:r>
      <w:bookmarkEnd w:id="2"/>
      <w:r w:rsidR="00D57980">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lastRenderedPageBreak/>
        <w:t>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77270107" w14:textId="5FAC412C" w:rsidR="00DB380D" w:rsidRDefault="00DB380D" w:rsidP="00DB380D">
      <w:pPr>
        <w:jc w:val="right"/>
        <w:rPr>
          <w:rStyle w:val="FontStyle51"/>
          <w:b/>
          <w:sz w:val="24"/>
          <w:szCs w:val="24"/>
        </w:rPr>
      </w:pPr>
      <w:r>
        <w:rPr>
          <w:rStyle w:val="FontStyle51"/>
          <w:b/>
          <w:sz w:val="24"/>
          <w:szCs w:val="24"/>
        </w:rPr>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285BF2B5"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6A7AC82B" w14:textId="6A8F5613" w:rsidR="00F535D4" w:rsidRPr="00F535D4" w:rsidRDefault="00F535D4" w:rsidP="00DB380D">
      <w:pPr>
        <w:jc w:val="center"/>
        <w:rPr>
          <w:rStyle w:val="FontStyle51"/>
          <w:bCs/>
          <w:sz w:val="24"/>
          <w:szCs w:val="24"/>
        </w:rPr>
      </w:pPr>
      <w:r w:rsidRPr="00F535D4">
        <w:rPr>
          <w:rStyle w:val="FontStyle51"/>
          <w:bCs/>
          <w:sz w:val="24"/>
          <w:szCs w:val="24"/>
        </w:rPr>
        <w:t>(См. прилагаемый файл «Описание объекта закупки»)</w:t>
      </w:r>
    </w:p>
    <w:p w14:paraId="3607E9D7" w14:textId="70C67262" w:rsidR="00DB380D" w:rsidRDefault="00DB380D" w:rsidP="00DB380D">
      <w:pPr>
        <w:jc w:val="center"/>
        <w:rPr>
          <w:rStyle w:val="FontStyle51"/>
          <w:b/>
          <w:sz w:val="24"/>
          <w:szCs w:val="24"/>
        </w:rPr>
      </w:pPr>
    </w:p>
    <w:p w14:paraId="019F4162" w14:textId="4D56AC69"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7E5089A5" w14:textId="77777777" w:rsidR="00F535D4" w:rsidRDefault="00F535D4" w:rsidP="00DB380D">
      <w:pPr>
        <w:jc w:val="right"/>
        <w:rPr>
          <w:rStyle w:val="FontStyle51"/>
          <w:b/>
          <w:sz w:val="24"/>
          <w:szCs w:val="24"/>
        </w:rPr>
      </w:pPr>
    </w:p>
    <w:p w14:paraId="02216941" w14:textId="282A6AD1"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09E5B1D9" w:rsidR="00DB380D" w:rsidRPr="00DB380D" w:rsidRDefault="00DB380D" w:rsidP="00DB380D">
      <w:pPr>
        <w:jc w:val="center"/>
        <w:rPr>
          <w:bCs/>
        </w:rPr>
      </w:pPr>
      <w:r w:rsidRPr="00DB380D">
        <w:rPr>
          <w:bCs/>
        </w:rPr>
        <w:lastRenderedPageBreak/>
        <w:t xml:space="preserve">Локальный сметный расчёт </w:t>
      </w:r>
    </w:p>
    <w:p w14:paraId="4DC77705" w14:textId="77777777" w:rsidR="00ED56E1" w:rsidRDefault="00ED56E1" w:rsidP="00F535D4">
      <w:pPr>
        <w:jc w:val="center"/>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sectPr w:rsidR="00DB380D" w:rsidRPr="002E5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E7FB1"/>
    <w:rsid w:val="00392AE0"/>
    <w:rsid w:val="003A75E0"/>
    <w:rsid w:val="003B4AE4"/>
    <w:rsid w:val="00402DFB"/>
    <w:rsid w:val="00425FFC"/>
    <w:rsid w:val="00432BB6"/>
    <w:rsid w:val="004710A0"/>
    <w:rsid w:val="004D32DB"/>
    <w:rsid w:val="004F55C9"/>
    <w:rsid w:val="00500463"/>
    <w:rsid w:val="00510430"/>
    <w:rsid w:val="005E6B06"/>
    <w:rsid w:val="00622963"/>
    <w:rsid w:val="006724B7"/>
    <w:rsid w:val="006E2703"/>
    <w:rsid w:val="006F1F21"/>
    <w:rsid w:val="0074703B"/>
    <w:rsid w:val="00781BFF"/>
    <w:rsid w:val="007955AF"/>
    <w:rsid w:val="007F682E"/>
    <w:rsid w:val="008A6E4C"/>
    <w:rsid w:val="008A7628"/>
    <w:rsid w:val="008E2831"/>
    <w:rsid w:val="008E6167"/>
    <w:rsid w:val="00934C80"/>
    <w:rsid w:val="00965E06"/>
    <w:rsid w:val="009A7F18"/>
    <w:rsid w:val="009B2FBC"/>
    <w:rsid w:val="00A04ADE"/>
    <w:rsid w:val="00A11AAA"/>
    <w:rsid w:val="00A26BEE"/>
    <w:rsid w:val="00A50C17"/>
    <w:rsid w:val="00AA1AF7"/>
    <w:rsid w:val="00AA70B7"/>
    <w:rsid w:val="00B37290"/>
    <w:rsid w:val="00B52B96"/>
    <w:rsid w:val="00BB013F"/>
    <w:rsid w:val="00CC6B3B"/>
    <w:rsid w:val="00D02EEF"/>
    <w:rsid w:val="00D23522"/>
    <w:rsid w:val="00D57980"/>
    <w:rsid w:val="00D904F5"/>
    <w:rsid w:val="00DB380D"/>
    <w:rsid w:val="00DC2C3F"/>
    <w:rsid w:val="00DE44A5"/>
    <w:rsid w:val="00E05B86"/>
    <w:rsid w:val="00E210B0"/>
    <w:rsid w:val="00E25565"/>
    <w:rsid w:val="00E52975"/>
    <w:rsid w:val="00E76F91"/>
    <w:rsid w:val="00E81F01"/>
    <w:rsid w:val="00ED56E1"/>
    <w:rsid w:val="00F1044C"/>
    <w:rsid w:val="00F3233E"/>
    <w:rsid w:val="00F37621"/>
    <w:rsid w:val="00F409A4"/>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6859</Words>
  <Characters>39101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49</cp:revision>
  <dcterms:created xsi:type="dcterms:W3CDTF">2021-12-07T09:39:00Z</dcterms:created>
  <dcterms:modified xsi:type="dcterms:W3CDTF">2024-04-12T07:54:00Z</dcterms:modified>
</cp:coreProperties>
</file>