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91D6CA4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автомобильного марки АИ-95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905"/>
        <w:gridCol w:w="851"/>
        <w:gridCol w:w="851"/>
      </w:tblGrid>
      <w:tr w:rsidR="0003208A" w:rsidRPr="00777E15" w14:paraId="1251C345" w14:textId="77777777" w:rsidTr="00A82410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A82410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АИ-95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2685FA5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0E2BBF73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 xml:space="preserve">≥ 95 и </w:t>
            </w:r>
            <w:proofErr w:type="gramStart"/>
            <w:r w:rsidRPr="00AA2690">
              <w:rPr>
                <w:rStyle w:val="greycolor"/>
                <w:bCs/>
              </w:rPr>
              <w:t>&lt; 98</w:t>
            </w:r>
            <w:proofErr w:type="gramEnd"/>
          </w:p>
          <w:p w14:paraId="614E3FE6" w14:textId="3F5C5F97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3D70D755" w:rsidR="0003208A" w:rsidRPr="00AA2690" w:rsidRDefault="00A82410" w:rsidP="00157FF0">
            <w:pPr>
              <w:jc w:val="center"/>
              <w:rPr>
                <w:bCs/>
              </w:rPr>
            </w:pPr>
            <w:r>
              <w:rPr>
                <w:bCs/>
              </w:rPr>
              <w:t>3 6</w:t>
            </w:r>
            <w:r w:rsidR="00A470E0">
              <w:rPr>
                <w:bCs/>
              </w:rPr>
              <w:t>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12845C88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F1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77C4A554" w14:textId="77777777" w:rsidR="00A470E0" w:rsidRDefault="00A470E0" w:rsidP="00A470E0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E077117" w14:textId="77777777" w:rsidR="00A470E0" w:rsidRDefault="00A470E0" w:rsidP="00A470E0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7F6C7B"/>
    <w:rsid w:val="009E16A6"/>
    <w:rsid w:val="00A301CB"/>
    <w:rsid w:val="00A35D52"/>
    <w:rsid w:val="00A470E0"/>
    <w:rsid w:val="00A82410"/>
    <w:rsid w:val="00A83101"/>
    <w:rsid w:val="00AA2690"/>
    <w:rsid w:val="00BA1497"/>
    <w:rsid w:val="00C61F65"/>
    <w:rsid w:val="00C72B66"/>
    <w:rsid w:val="00D44CDC"/>
    <w:rsid w:val="00DF1C41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24</cp:revision>
  <cp:lastPrinted>2023-03-02T07:00:00Z</cp:lastPrinted>
  <dcterms:created xsi:type="dcterms:W3CDTF">2022-01-24T04:33:00Z</dcterms:created>
  <dcterms:modified xsi:type="dcterms:W3CDTF">2024-04-17T02:34:00Z</dcterms:modified>
</cp:coreProperties>
</file>