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 xml:space="preserve">Приложение </w:t>
      </w:r>
      <w:r w:rsidR="006E20B6">
        <w:rPr>
          <w:rFonts w:ascii="Times New Roman" w:hAnsi="Times New Roman"/>
          <w:b/>
          <w:i/>
        </w:rPr>
        <w:t>№ 3</w:t>
      </w:r>
    </w:p>
    <w:p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3829"/>
        <w:gridCol w:w="2693"/>
        <w:gridCol w:w="1418"/>
        <w:gridCol w:w="992"/>
      </w:tblGrid>
      <w:tr w:rsidR="00923975" w:rsidRPr="004D418A" w:rsidTr="006E20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№ </w:t>
            </w:r>
            <w:proofErr w:type="spellStart"/>
            <w:proofErr w:type="gramStart"/>
            <w:r w:rsidRPr="004D418A">
              <w:rPr>
                <w:rFonts w:ascii="Times New Roman" w:hAnsi="Times New Roman"/>
                <w:bCs/>
                <w:lang w:eastAsia="en-US"/>
              </w:rPr>
              <w:t>п</w:t>
            </w:r>
            <w:proofErr w:type="spellEnd"/>
            <w:proofErr w:type="gramEnd"/>
            <w:r w:rsidRPr="004D418A">
              <w:rPr>
                <w:rFonts w:ascii="Times New Roman" w:hAnsi="Times New Roman"/>
                <w:bCs/>
                <w:lang w:eastAsia="en-US"/>
              </w:rPr>
              <w:t>/</w:t>
            </w:r>
            <w:proofErr w:type="spellStart"/>
            <w:r w:rsidRPr="004D418A">
              <w:rPr>
                <w:rFonts w:ascii="Times New Roman" w:hAnsi="Times New Roman"/>
                <w:bCs/>
                <w:lang w:eastAsia="en-US"/>
              </w:rPr>
              <w:t>п</w:t>
            </w:r>
            <w:proofErr w:type="spellEnd"/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9E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Код в соответствии </w:t>
            </w:r>
            <w:proofErr w:type="gramStart"/>
            <w:r w:rsidRPr="004D418A">
              <w:rPr>
                <w:rFonts w:ascii="Times New Roman" w:hAnsi="Times New Roman"/>
                <w:bCs/>
                <w:lang w:eastAsia="en-US"/>
              </w:rPr>
              <w:t>с</w:t>
            </w:r>
            <w:proofErr w:type="gramEnd"/>
            <w:r w:rsidRPr="004D418A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  <w:p w:rsidR="00923975" w:rsidRPr="004D418A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КТРУ/</w:t>
            </w:r>
            <w:r w:rsidR="00923975" w:rsidRPr="004D418A">
              <w:rPr>
                <w:rFonts w:ascii="Times New Roman" w:hAnsi="Times New Roman"/>
                <w:bCs/>
                <w:lang w:eastAsia="en-US"/>
              </w:rPr>
              <w:t>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923975" w:rsidRPr="004D418A" w:rsidTr="006E20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E93D2B" w:rsidP="0048549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93D2B">
              <w:rPr>
                <w:rFonts w:ascii="Times New Roman" w:hAnsi="Times New Roman"/>
                <w:bCs/>
                <w:lang w:eastAsia="en-US"/>
              </w:rPr>
              <w:t>Оказание услуги по разработке проектно-сметной документации и проверке достоверности определения сметной стоимости на комплексный капитальный ремонт МБДОУ "Центр развития ребенка - детский сад № 56 "Ромашка", расположенного по адресу: пер. Гражданский, 14А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6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71.12.12.190</w:t>
            </w:r>
          </w:p>
          <w:p w:rsidR="00923975" w:rsidRPr="004D418A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 Услуги</w:t>
            </w:r>
            <w:r w:rsidR="00690157" w:rsidRPr="004D418A">
              <w:rPr>
                <w:rFonts w:ascii="Times New Roman" w:hAnsi="Times New Roman"/>
                <w:bCs/>
                <w:lang w:eastAsia="en-US"/>
              </w:rPr>
              <w:t xml:space="preserve">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4D418A">
              <w:rPr>
                <w:rFonts w:ascii="Times New Roman" w:hAnsi="Times New Roman"/>
                <w:lang w:eastAsia="en-US"/>
              </w:rPr>
              <w:t>усл</w:t>
            </w:r>
            <w:proofErr w:type="spellEnd"/>
            <w:r w:rsidRPr="004D418A">
              <w:rPr>
                <w:rFonts w:ascii="Times New Roman" w:hAnsi="Times New Roman"/>
                <w:lang w:eastAsia="en-US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:rsidR="006F49FE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:rsidR="006E20B6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16" w:type="dxa"/>
        <w:tblInd w:w="-113" w:type="dxa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697"/>
        <w:gridCol w:w="3380"/>
        <w:gridCol w:w="2835"/>
        <w:gridCol w:w="2704"/>
      </w:tblGrid>
      <w:tr w:rsidR="00E93D2B" w:rsidRPr="00AE3B88" w:rsidTr="007E27B7">
        <w:tc>
          <w:tcPr>
            <w:tcW w:w="9616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3D2B" w:rsidRPr="00E93D2B" w:rsidRDefault="00E93D2B" w:rsidP="00E93D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93D2B">
              <w:rPr>
                <w:rFonts w:ascii="Times New Roman" w:hAnsi="Times New Roman"/>
                <w:szCs w:val="20"/>
              </w:rPr>
              <w:t>ЗАДАНИЕ НА ПРОЕКТИРОВАНИЕ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3D2B" w:rsidRPr="00E93D2B" w:rsidRDefault="00E93D2B" w:rsidP="00E93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D2B">
              <w:rPr>
                <w:rFonts w:ascii="Times New Roman" w:hAnsi="Times New Roman"/>
              </w:rPr>
              <w:t xml:space="preserve">Разработка проектно-сметной документации на капитальный ремонт МБДОУ «Центр развития ребенка – детский сад №56 «Ромашка», расположенного по адресу: пер. Гражданский, 14а в </w:t>
            </w:r>
            <w:r>
              <w:rPr>
                <w:rFonts w:ascii="Times New Roman" w:hAnsi="Times New Roman"/>
              </w:rPr>
              <w:t xml:space="preserve">          </w:t>
            </w:r>
            <w:proofErr w:type="gramStart"/>
            <w:r w:rsidRPr="00E93D2B">
              <w:rPr>
                <w:rFonts w:ascii="Times New Roman" w:hAnsi="Times New Roman"/>
              </w:rPr>
              <w:t>г</w:t>
            </w:r>
            <w:proofErr w:type="gramEnd"/>
            <w:r w:rsidRPr="00E93D2B">
              <w:rPr>
                <w:rFonts w:ascii="Times New Roman" w:hAnsi="Times New Roman"/>
              </w:rPr>
              <w:t>. Рубцовске.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Перечень  основных требований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 требований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</w:t>
            </w:r>
          </w:p>
        </w:tc>
      </w:tr>
      <w:tr w:rsidR="00E93D2B" w:rsidRPr="00AE3B88" w:rsidTr="007E27B7">
        <w:trPr>
          <w:trHeight w:val="535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1. ОБЩИЕ ДАННЫЕ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Основание для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«Поддержка семьи» Национального проекта</w:t>
            </w:r>
            <w:bookmarkStart w:id="0" w:name="_GoBack"/>
            <w:bookmarkEnd w:id="0"/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«Семья» по реализации мероприятий по капитальному ремонту зданий дошкольных образовательных организаций 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МБДОУ «Центр развития ребенка – детский сад №56 «Ромашка»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>Район, пункт, площадка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658200, Алтайский край, город Рубцовск, </w:t>
            </w:r>
            <w:proofErr w:type="spellStart"/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переулокГражданский</w:t>
            </w:r>
            <w:proofErr w:type="spellEnd"/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, 14А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Вид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Функциональное назначение и параметры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Функциональное назначение – дошкольное образовательное учреждение (детский сад).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2-х этажное здание 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Основные технико-экономические показатели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Год постройки 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Общая площадь здания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Надземных этажей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Подземных этажей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Общая площадь территории детского сада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Кадастровый номер здания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1986 г.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2494,1 м</w:t>
            </w:r>
            <w:proofErr w:type="gramStart"/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2 этажа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0 этаж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10961 м</w:t>
            </w:r>
            <w:proofErr w:type="gramStart"/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22:70:021135:31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Указание о выделении пусковых комплексов, их состав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Сроки начала и окончания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>2025 – 202</w:t>
            </w:r>
            <w:r w:rsidRPr="00E93D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E93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  <w:r w:rsidRPr="00E93D2B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Местный бюджет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Стадийность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D2B" w:rsidRPr="00E93D2B" w:rsidRDefault="00E93D2B" w:rsidP="00E93D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Проектно-сметная документация, рабочая документация.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Исходно-разрешительная документация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Заказчик предоставляет Подрядчику:</w:t>
            </w:r>
          </w:p>
          <w:p w:rsidR="00E93D2B" w:rsidRPr="00E93D2B" w:rsidRDefault="00E93D2B" w:rsidP="00E93D2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Поэтажный план здания, правоустанавливающие документы на здание, акты балансового разграничения.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2. Паспорт здания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Срок предоставления ИРД не входит в срок выполнения проектных работ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Класс пожарной опасности здания, уровень ответственности, степень огнестойкости, класс конструктивной пожарной опасности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Класс пожарной опасности зданий – в соответствии с действующим законодательством.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Уровень ответственности - в соответствии с действующим законодательством.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Степень огнестойкости – в соответствии с действующим законодательством.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Класс конструктивной пожарной опасности - в соответствии с действующим законодательством.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3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Особенности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Природно-климатические условия строительства: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 - климатический район строительства I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снеговой район I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ветровой район I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</w:p>
        </w:tc>
      </w:tr>
      <w:tr w:rsidR="00E93D2B" w:rsidRPr="00AE3B88" w:rsidTr="007E27B7">
        <w:trPr>
          <w:trHeight w:val="297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2. ОСНОВНЫЕ ТРЕБОВАНИЯ К ПРОЕКТНЫМ РЕШЕНИЯМ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0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Требования к составу разделов проектной и рабочей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Документацию выполнить в объеме согласно требованиям Постановления правительства РФ № 87 от 16.02.2008г. «О составе разделов проектной документации и требованиях к их содержанию»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работ.</w:t>
            </w:r>
            <w:proofErr w:type="gramEnd"/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В составе проектной документации разработать следующие</w:t>
            </w:r>
            <w:proofErr w:type="gramEnd"/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необходимые разделы: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1. Пояснительная записка.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3. Архитектурные решения.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4. Конструктивные и объемно-планировочные решения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5.1. Система электроснабжения.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5.2. Система водоснабжения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5.3. Система водоотведения.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5.4. Система отопления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5.5. Вентиляция.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5.6. Сети связи.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5.7. Технологические решения.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6. ПОКР (проект организации капитального ремонта)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9. Мероприятия по обеспечению пожарной безопасности:  </w:t>
            </w:r>
          </w:p>
          <w:p w:rsidR="00E93D2B" w:rsidRPr="00E93D2B" w:rsidRDefault="00E93D2B" w:rsidP="00E93D2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Адресная система автоматической пожарной сигнализации,</w:t>
            </w:r>
          </w:p>
          <w:p w:rsidR="00E93D2B" w:rsidRPr="00E93D2B" w:rsidRDefault="00E93D2B" w:rsidP="00E93D2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-Система оповещения и управления эвакуацией людей при пожаре,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-Система противопожарного водопровода,</w:t>
            </w:r>
          </w:p>
          <w:p w:rsidR="00E93D2B" w:rsidRPr="00E93D2B" w:rsidRDefault="00E93D2B" w:rsidP="00E93D2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-Противопожарные преграды.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10. Мероприятия по обеспечению доступа инвалидов и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групп населения.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11. Сметная документация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согласно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действующего законодательства РФ.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В составе рабочей документации следующие разделы: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ГП – генеральный план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АС – архитектурно-строительные решения.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ЭОМ – внутреннее электрооборудование и электроосвещение.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ВК – внутренний водопровод и канализация.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ОВиК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– отопление, вентиляция, кондиционирование.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ТХ – технологические решения;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СС – сети связи.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СМ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– сметная документация.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В составе проектной документации предусмотреть ведомости объемов работ и спецификации.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0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Схема планировочной организации </w:t>
            </w:r>
            <w:r w:rsidRPr="00E93D2B">
              <w:rPr>
                <w:rFonts w:ascii="Times New Roman" w:hAnsi="Times New Roman"/>
                <w:sz w:val="20"/>
                <w:szCs w:val="20"/>
              </w:rPr>
              <w:lastRenderedPageBreak/>
              <w:t>земельного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lastRenderedPageBreak/>
              <w:t>Проектом предусмотреть: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асфальтобетонную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отмостку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здания;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0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Архитектурно-планировочные и конструктивные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Проектом предусмотреть капитальный ремонт существующего здания в соответствии с условиями настоящего задания. </w:t>
            </w:r>
          </w:p>
          <w:p w:rsidR="00E93D2B" w:rsidRPr="00E93D2B" w:rsidRDefault="00E93D2B" w:rsidP="00E93D2B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Общие указания: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Функциональное назначение помещений принять без изменений.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За основу принять существующую коридорную систему планировки, отвечающую назначению здания.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В рамках капитального ремонта выполнить перепланировку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по согласованию с Заказчиком в соответствии с действующей нормативно-технической документацией по доступности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групп населения.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Объемно-планировочные решения, ведомость отделки помещений и фасады согласовать с Заказчиком в рабочем порядке до начала разработки решений по сетям инженерно-технического обеспечения.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Выполнить утепление цоколя.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Разработать мероприятия для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групп населения, включая устройство пандусов, переоборудование санузлов, входа в групповые помещения, пребывание МГН предусматривается только на первом этаже здания.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Сообщения между этажами 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>принять в соответствии с существующим положением: по существующим внутренним лестницам, обеспечивающим коммуникацию между этажами рассматриваемых помещений. Ширину лестничных маршей и площадок принять в соответствии с существующим положением.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Количество и ширина эвакуационных выходов из помещений принять в соответствии с действующей нормативно-технической документацией по доступности МГН. 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Габариты путей эвакуации, ведущие к лестничным клеткам (коридоры) принять в соответствии с действующей нормативно-технической документацией по доступности МГН.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По фасадам здания предусмотреть: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 ремонт стен и цоколя; 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 облицовка фасада металлическими кассетами (цветовые решения согласовать с заказчиком), 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выполнить теплотехнический расчет по результатам при необходимости выполнить утепление;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ремонт (в случае необходимости замена) лестниц, в том числе наружных открытых лестниц, предназначенных для эвакуации людей из здания в случае пожара, приямков, навесов;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 замену деревянных оконных блоков на блоки ПВХ, согласно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действующей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НТД.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 замену входных дверей и внутренних дверей эвакуационных выходов согласно нормативной технической документации, актуальной на дату проектирования. Материал дверей наружные - металлические, внутренние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еталлические (из алюминиевого профиля со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светопрозрачным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заполнением верхней части).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4. Отделочные работы: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4.1. Предусмотреть отделку всех помещений в соответствии с их функциональным назначением.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Для внутренней отделки применяются современные эффективные отделочные материалы. Отделочные материалы на путях эвакуации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степенью пожарной опасности. Выбор материалов для отделки помещений согласовать с заказчиком.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4.2. Основные помещения, группы: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– покрытие пола – гетерогенный линолеум в соответствии с </w:t>
            </w:r>
            <w:r w:rsidRPr="00E93D2B">
              <w:rPr>
                <w:rFonts w:ascii="Times New Roman" w:hAnsi="Times New Roman"/>
                <w:sz w:val="20"/>
                <w:szCs w:val="20"/>
              </w:rPr>
              <w:lastRenderedPageBreak/>
              <w:t>функциональным назначением помещени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класс пожарной опасности не более КМ0 – стены и потолок и КМ1 – покрытие пола);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– стены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–д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екоративная штукатурка  Меридиан "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AquaDecor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" в 2 слоя с колеровкой, покрытие лаком "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AquaDecor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>" глянец;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– потолок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>одвесной типа «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Армстронг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4.3. Коридоры, рекреации: 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– полы –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керамогранит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– стены – декоративная штукатурка  Меридиан "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AquaDecor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" в 2 слоя с колеровкой, покрытие лаком "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AquaDecor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>" глянец;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– потолок – подвесной типа «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Армстронг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4.4. Лестничные клетки: 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– полы -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керамогранитная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плитка, восстановление поверхности ступеней полимерными составами;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– стены – декоративная штукатурка  Меридиан "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AquaDecor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>" в 2 слоя с колеровкой, покрытие лаком "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AquaDecor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>" глянец;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– предусмотреть замену лестничных ограждений на металлические из нержавеющей стали согласно нормативной технической документации, актуальной на дату проектирования.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4.5. Технические помещения: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– полы – керамическая плитка; 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– стены – окраска водоэмульсионная;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 потолок – подвесной типа «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Армстронг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>» влагостойкий;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4.6. Пищеблок: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полы, стены - керамическая плитка;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потолок - подвесной типа «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Армстронг</w:t>
            </w:r>
            <w:proofErr w:type="spellEnd"/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»в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>лагостойкий;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4.7. Санузлы: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полы, стены - керамическая плитка;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потолок – подвесной типа «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Армстронг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>» влагостойкий;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4.8. Бассейн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-полы, стены – керамическая плитка,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-потолок – подвесной типа «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Армстронг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>» влагостойкий,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-чаша бассейна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–с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>огласно НТД, актуальной на дату проектирования.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-сауна - согласно НТД,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актуальной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на дату проектирования.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-зал сухого плавания – выбор материалов согласовать с заказчиком.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Предусмотреть устройство фильтров с выведением оборудования в отдельное помещение, согласно НТД,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актуальной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на дату проектирования.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Отделка помещений должна соответствовать пожарным требованиям.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Раздел ТХ согласовать с Заказчиком.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4.8. Кровля.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Выполнить замену покрытия мягкой кровли на скатную, запроектировать стропильную систему, покрытие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металлочерепицей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, замену водосточной системы, ремонт кирпичной кладки), предусмотреть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молниезащиту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End"/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4.9. Благоустройство территории и МАФ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тротуарное покрытие – асфальтобетонное,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 площадки–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>фальтобетонное покрытие с резиновой крошкой, озеленение, замена теневых навесов на современные, соответствующие нормативной документации, устройство детских игровых платформ, игровой мебели, балансиров, скамеек, песочниц и т.д.(выбор МАФ согласовать с Заказчиком);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ограждение – металлические решетчатые секции (размер и толщина, согласно нормативной документации)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Предусмотреть оборудование территории для возможности проезда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групп населения. 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0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Нормативные требования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Документации разработать в соответствии действующих строительных норм, в том числе:</w:t>
            </w:r>
          </w:p>
          <w:p w:rsidR="00E93D2B" w:rsidRPr="00E93D2B" w:rsidRDefault="00E93D2B" w:rsidP="00E93D2B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E93D2B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lastRenderedPageBreak/>
              <w:t xml:space="preserve">- Санитарных правил и норм </w:t>
            </w:r>
            <w:proofErr w:type="spellStart"/>
            <w:r w:rsidRPr="00E93D2B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СанПиН</w:t>
            </w:r>
            <w:proofErr w:type="spellEnd"/>
            <w:r w:rsidRPr="00E93D2B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2;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 Федерального закона от 30.12.2009 № 384-ФЗ «Технический регламент о безопасности зданий и сооружений»; </w:t>
            </w: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«Каменные и армокаменные конструкции»</w:t>
            </w: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«Стальные конструкции»</w:t>
            </w: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«Основания зданий и сооружений»</w:t>
            </w: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«Бетонные и железобетонные конструкции. Основные положения»;</w:t>
            </w: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«Защита строительных конструкций от коррозии»</w:t>
            </w: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«Строительство в сейсмических районах»</w:t>
            </w: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-"Система проектной документации для строительства. Основные требования к проектной и рабочей документации"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0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Требования к инженерным системам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Проектом предусмотреть капитальный ремонт здания и систем инженерно-технического обеспечения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аналогичные.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0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Предусмотреть полную замену системы внутреннего электрооборудования розеточную и осветительную сеть здания, включая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замену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ВРУ и т.д. в соответствии с действующими НТД. ВРУ предусмотреть на 1 этаже здания детского сада. 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 электроснабжения: 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>предусмотреть электроснабжение объекта от существующего источника.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Молниезащита</w:t>
            </w:r>
            <w:proofErr w:type="spellEnd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и заземление: 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предусмотреть устройство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молниезащиты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здания в соответствии с ПУЭ и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действующими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НТД.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Заземление и защитные меры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электробезопасности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выполнить в соответствии с ПУЭ в действующей редакции, НТД.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Кабельная продукция: 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>сети питания выполнить медными кабелями в соответствии с ПУЭ и действующими НТД. Для электроснабжения потребителей противопожарных систем применить медный кабель в соответствии с НТД.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Электроосвещение: с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>ветильники эвакуационного освещения должны быть отмечены в соответствии с ПУЭ и НТД.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Эвакуационное освещение выполнить в соответствии с действующим законодательством.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Тип установленных светильников должен соответствовать категории помещений по ПУЭ в действующей редакции. Освещенность во всех помещениях выбрать в соответствии с НТД. 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Во влажных помещениях применить влагозащищенные устройства.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Выполнить устройство сетей наружного электроосвещения.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Подключение выполнить в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электрощитовой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здания детского сада.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Выполнить расчет освещенности. 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Светильники использовать светодиодные срок эксплуатации не менее 5 лет в соответствии с НТД.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E93D2B">
              <w:rPr>
                <w:rFonts w:ascii="Times New Roman" w:hAnsi="Times New Roman"/>
                <w:sz w:val="20"/>
                <w:szCs w:val="20"/>
                <w:lang w:bidi="hi-IN"/>
              </w:rPr>
              <w:t>2.7.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Система холодного  водоснабжения (ХВС)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Источником холодного водоснабжения здания принять существующий ввод холодного водоснабжения,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пожаро-хозяйственный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водопровод.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Проектом предусмотреть устройство поливочных кранов.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Для систем, принять разводку из труб в соответствии с НТД. Системы водоснабжения оборудовать необходимой запорной и регулирующей арматурой.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Запорную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арматура разместить в местах, удобных для обслуживания. На стояках установить запорную арматуру для отключения, а также штуцера с запорной арматурой для спуска воды в соответствии с НТД.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Предусмотреть установку прибора учета холодного </w:t>
            </w:r>
            <w:r w:rsidRPr="00E93D2B">
              <w:rPr>
                <w:rFonts w:ascii="Times New Roman" w:hAnsi="Times New Roman"/>
                <w:sz w:val="20"/>
                <w:szCs w:val="20"/>
              </w:rPr>
              <w:lastRenderedPageBreak/>
              <w:t>водоснабжения с контрольно- измерительными приборами.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Предусмотреть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канализование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здания посредством замененных в соответствии с НТД выпусков, подключенных к ближайшим  канализационным колодцам.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Предусмотреть устройство систем: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Сброс бытовых сточных вод предусмотреть через замененные в соответствии с НТД выпуски хозяйственно- бытовой канализации.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Для прочистки системы канализации проектом предусмотреть установку необходимого количества ревизий и прочисток. 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Сети бытовой канализации, отводящие сточные воды в наружную канализационную сеть, должны вентилироваться через стояки, вытяжная часть которых выводится через кровлю или сборную вентиляционную шахту здания на высоту в соответствии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действующей НТД.</w:t>
            </w:r>
          </w:p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Трубы и фасонные части из полипропилена для систем внутренней канализации в соответствии с НТД. </w:t>
            </w:r>
          </w:p>
        </w:tc>
      </w:tr>
      <w:tr w:rsidR="00E93D2B" w:rsidRPr="00AE3B88" w:rsidTr="007E27B7">
        <w:trPr>
          <w:trHeight w:val="608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hi-IN"/>
              </w:rPr>
            </w:pPr>
          </w:p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E93D2B">
              <w:rPr>
                <w:rFonts w:ascii="Times New Roman" w:hAnsi="Times New Roman"/>
                <w:sz w:val="20"/>
                <w:szCs w:val="20"/>
                <w:lang w:bidi="hi-IN"/>
              </w:rPr>
              <w:t>2.9.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Система отопления и горячего водоснабжения (ГВС).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Теплоснабжение детского сада выполнить по независимому подключению к центральной системе теплоснабжения.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Устройство ИТП (индивидуального теплового пункта) выполнить с АТП (автоматизированный тепловой пункт) с </w:t>
            </w:r>
            <w:proofErr w:type="spellStart"/>
            <w:proofErr w:type="gramStart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погода-зависимым</w:t>
            </w:r>
            <w:proofErr w:type="spellEnd"/>
            <w:proofErr w:type="gramEnd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регулированием системы теплопотребления. Предусмотреть наличие резервного теплообменника на независимую систему отопления детского сада. Предусмотреть наличие резервного теплообменника на независимую систему ГВС с рециркуляцией. Предусмотреть автоматизацию АТП в соответствии с </w:t>
            </w:r>
            <w:proofErr w:type="gramStart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действующими</w:t>
            </w:r>
            <w:proofErr w:type="gramEnd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НТД.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Устройство ИТП выполнить в подвале детского сада.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  На вводе в АТП предусмотреть узел учета тепловой энергии. Выполнить проектно-сметную документацию узла учета тепловой энергии.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  Параметры теплоносителя из тепловых сетей принять  в соответствии с температурным графиком 114/70 регулирования сетевой воды для источника Южная тепловая станция вывод №2.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Параметры для системы отопления Т1 = 95</w:t>
            </w:r>
            <w:proofErr w:type="gramStart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°С</w:t>
            </w:r>
            <w:proofErr w:type="gramEnd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; Т2 =70 °С;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Циркуляционные насосы системы отопления и ГВС, должны иметь 100% резерв.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Конструкцию насосов предусмотреть с «мокрым» ротором.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 В обязательном порядке в составе документации представить, расчёт выбора насосов.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Система отопления – двухтрубная, вертикальная.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В качестве нагревательных приборов принять чугунные радиаторы марки МС 140. На приборах отопления предусмотреть защитные экраны.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      Удаление воздуха из системы отопления предусмотреть </w:t>
            </w:r>
            <w:proofErr w:type="gramStart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через</w:t>
            </w:r>
            <w:proofErr w:type="gramEnd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автоматические </w:t>
            </w:r>
            <w:proofErr w:type="spellStart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воздухоотводчики</w:t>
            </w:r>
            <w:proofErr w:type="spellEnd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Автоматические </w:t>
            </w:r>
            <w:proofErr w:type="spellStart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воздухоотводчики</w:t>
            </w:r>
            <w:proofErr w:type="spellEnd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установить на шаровые краны.</w:t>
            </w:r>
            <w:proofErr w:type="gramEnd"/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     Тепловую изоляцию трубопроводов системы отопления выполнить согласно действующих НТД.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    Нижние точки сетей оснастить запорной арматурой для спуска воды.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    Проект на оборудование узла учета тепловой энергии должен выполняться в соответствии </w:t>
            </w:r>
            <w:proofErr w:type="gramStart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действующими</w:t>
            </w:r>
            <w:proofErr w:type="gramEnd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НТД.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Предусмотреть покраску магистрали и стояков от коррозии, в соответствии с НТД.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Систему отопления и ГВС оборудовать необходимой запорной и регулирующей арматурой. </w:t>
            </w:r>
            <w:proofErr w:type="gramStart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Запорную</w:t>
            </w:r>
            <w:proofErr w:type="gramEnd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арматура разместить в местах, удобных для обслуживания.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В проекте для разводящих трубопроводов системы отопления проходящей под полом предусмотреть для этих трубопроводов технологические каналы со съемными </w:t>
            </w: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крышками для производства работ по обслуживанию и ремонту трубопроводов и запорной арматуры.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На случаи прекращения работы ГВС в связи с аварийными отключениями, в весенний и осенний период, предусмотреть </w:t>
            </w:r>
            <w:proofErr w:type="gramStart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>резервное</w:t>
            </w:r>
            <w:proofErr w:type="gramEnd"/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t xml:space="preserve"> ГВС в соответствии с действующей НТД от емкостных водонагревателей объемом не более 100 литров.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Система вентиляции и кондиционирования воздуха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Выполнить вентиляцию, принудительную приточно-вытяжную вентиляцию в помещениях согласно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действующей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НТД.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Система пожарной безопасности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Выполнить документацию согласно действующему законодательству, в том числе Федеральному закону от 22.07.2008 № 123-ФЗ «Технический регламент о требованиях пожарной безопасности». 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E93D2B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Предусмотреть: 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 xml:space="preserve">описание </w:t>
            </w:r>
            <w:proofErr w:type="gramStart"/>
            <w:r w:rsidRPr="00E93D2B">
              <w:rPr>
                <w:rFonts w:ascii="Times New Roman" w:hAnsi="Times New Roman" w:cs="Times New Roman"/>
                <w:szCs w:val="20"/>
              </w:rPr>
              <w:t>системы обеспечения пожарной безопасности объекта капитального строительства</w:t>
            </w:r>
            <w:proofErr w:type="gramEnd"/>
            <w:r w:rsidRPr="00E93D2B">
              <w:rPr>
                <w:rFonts w:ascii="Times New Roman" w:hAnsi="Times New Roman" w:cs="Times New Roman"/>
                <w:szCs w:val="20"/>
              </w:rPr>
              <w:t>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>обоснование противопожарных расстояний между зданиями, сооружениями и наружными установками, обеспечивающих пожарную безопасность объектов капитального строительства;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>описание и обоснование проектных решений по наружному противопожарному водоснабжению, по определению проездов и подъездов для пожарной техники;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>описание и обоснование принятых конструктивных и объемно-планировочных решений, степени огнестойкости и класса конструктивной пожарной опасности строительных конструкций;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>описание и обоснование проектных решений по обеспечению безопасности людей при возникновении пожара;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>перечень мероприятий по обеспечению безопасности подразделений пожарной охраны при ликвидации пожара;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>сведения о категории зданий, сооружений, помещений, оборудования и наружных установок по признаку взрывопожарной и пожарной опасности;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>перечень зданий, сооружений, помещений и оборудования, подлежащих защите автоматическими установками пожаротушения и оборудованию автоматической пожарной сигнализацией;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 xml:space="preserve">описание и обоснование противопожарной защиты (автоматических установок пожаротушения, пожарной сигнализации, оповещения и управления эвакуацией людей при пожаре, внутреннего противопожарного водопровода, </w:t>
            </w:r>
            <w:proofErr w:type="spellStart"/>
            <w:r w:rsidRPr="00E93D2B">
              <w:rPr>
                <w:rFonts w:ascii="Times New Roman" w:hAnsi="Times New Roman" w:cs="Times New Roman"/>
                <w:szCs w:val="20"/>
              </w:rPr>
              <w:lastRenderedPageBreak/>
              <w:t>противодымной</w:t>
            </w:r>
            <w:proofErr w:type="spellEnd"/>
            <w:r w:rsidRPr="00E93D2B">
              <w:rPr>
                <w:rFonts w:ascii="Times New Roman" w:hAnsi="Times New Roman" w:cs="Times New Roman"/>
                <w:szCs w:val="20"/>
              </w:rPr>
              <w:t xml:space="preserve"> защиты);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>описание и обоснование необходимости размещения оборудования противопожарной защиты, управления таким оборудованием, взаимодействия такого оборудования с инженерными системами зданий и оборудованием, работа которого во время пожара направлена на обеспечение безопасной эвакуации людей, тушение пожара и ограничение его развития, а также алгоритма работы технических систем (средств) противопожарной защиты (при наличии);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>описание организационно-технических мероприятий по обеспечению пожарной безопасности объекта капитального строительства;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>расчет пожарных рисков угрозы жизни и здоровью людей и уничтожения имущества (при выполнении обязательных требований пожарной безопасности, установленных техническими регламентами, и выполнении в добровольном порядке требований нормативных документов по пожарной безопасности расчет пожарных рисков не требуется);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E93D2B">
              <w:rPr>
                <w:rFonts w:ascii="Times New Roman" w:hAnsi="Times New Roman" w:cs="Times New Roman"/>
                <w:b/>
                <w:szCs w:val="20"/>
              </w:rPr>
              <w:t xml:space="preserve">в графической части предусмотреть: 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>ситуационный план организации земельного участка, предоставленного для размещения объекта капитального строительства, с указанием въезда (выезда) на территорию и путей подъезда к объектам пожарной техники, мест размещения и емкости пожарных резервуаров (при их наличии), схем прокладки наружного противопожарного водопровода, мест размещения пожарных гидрантов и мест размещения насосных станций;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>схемы эвакуации людей и материальных средств из зданий (сооружений) и с прилегающей к зданиям (сооружениям) территории в случае возникновения пожара;</w:t>
            </w:r>
          </w:p>
          <w:p w:rsidR="00E93D2B" w:rsidRPr="00E93D2B" w:rsidRDefault="00E93D2B" w:rsidP="00E93D2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93D2B">
              <w:rPr>
                <w:rFonts w:ascii="Times New Roman" w:hAnsi="Times New Roman" w:cs="Times New Roman"/>
                <w:szCs w:val="20"/>
              </w:rPr>
              <w:t>структурные схемы технических систем (средств) противопожарной защиты (автоматических установок пожаротушения, автоматической пожарной сигнализации, внутреннего противопожарного водопровода).</w:t>
            </w:r>
          </w:p>
          <w:p w:rsidR="00E93D2B" w:rsidRPr="00E93D2B" w:rsidRDefault="00E93D2B" w:rsidP="00E93D2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E93D2B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Особые требования: </w:t>
            </w:r>
          </w:p>
          <w:p w:rsidR="00E93D2B" w:rsidRPr="00E93D2B" w:rsidRDefault="00E93D2B" w:rsidP="00E93D2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/>
                <w:sz w:val="20"/>
                <w:szCs w:val="20"/>
              </w:rPr>
              <w:t>Адресная система автоматической пожарной сигнализации:</w:t>
            </w:r>
          </w:p>
          <w:p w:rsidR="00E93D2B" w:rsidRPr="00E93D2B" w:rsidRDefault="00E93D2B" w:rsidP="00E93D2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Style w:val="s2"/>
                <w:rFonts w:ascii="Times New Roman" w:hAnsi="Times New Roman"/>
                <w:sz w:val="20"/>
                <w:szCs w:val="20"/>
              </w:rPr>
              <w:t>При проектировании работ по капитальному ремонту учесть работы по демонтажу и монтажу оборудования существующей системы в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 xml:space="preserve"> соответствии с действующим законодательством.</w:t>
            </w:r>
          </w:p>
          <w:p w:rsidR="00E93D2B" w:rsidRPr="00E93D2B" w:rsidRDefault="00E93D2B" w:rsidP="00E93D2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/>
                <w:sz w:val="20"/>
                <w:szCs w:val="20"/>
              </w:rPr>
              <w:t>Система оповещения и управления эвакуацией людей при пожаре:</w:t>
            </w:r>
          </w:p>
          <w:p w:rsidR="00E93D2B" w:rsidRPr="00E93D2B" w:rsidRDefault="00E93D2B" w:rsidP="00E93D2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Систему оповещения и управления эвакуацией людей при пожаре выполнить в соответствии с действующим законодательством.</w:t>
            </w:r>
          </w:p>
          <w:p w:rsidR="00E93D2B" w:rsidRPr="00E93D2B" w:rsidRDefault="00E93D2B" w:rsidP="00E93D2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/>
                <w:sz w:val="20"/>
                <w:szCs w:val="20"/>
              </w:rPr>
              <w:t xml:space="preserve">Система противопожарного водопровода: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Предусмотреть систему противопожарного водопровода с установкой задвижки с электроприводом и её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электроснабжение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и управление в соответствии с действующим законодательством.</w:t>
            </w:r>
          </w:p>
          <w:p w:rsidR="00E93D2B" w:rsidRPr="00E93D2B" w:rsidRDefault="00E93D2B" w:rsidP="00E93D2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D2B">
              <w:rPr>
                <w:rFonts w:ascii="Times New Roman" w:hAnsi="Times New Roman"/>
                <w:b/>
                <w:sz w:val="20"/>
                <w:szCs w:val="20"/>
              </w:rPr>
              <w:t xml:space="preserve">Противопожарные преграды: </w:t>
            </w:r>
          </w:p>
          <w:p w:rsidR="00E93D2B" w:rsidRPr="00E93D2B" w:rsidRDefault="00E93D2B" w:rsidP="00E93D2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Предусмотреть установку противопожарных преград в соответствии с действующим законодательством.</w:t>
            </w:r>
          </w:p>
          <w:p w:rsidR="00E93D2B" w:rsidRPr="00E93D2B" w:rsidRDefault="00E93D2B" w:rsidP="00E93D2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93D2B">
              <w:rPr>
                <w:rFonts w:ascii="Times New Roman" w:eastAsia="Calibri" w:hAnsi="Times New Roman"/>
                <w:sz w:val="20"/>
                <w:szCs w:val="20"/>
              </w:rPr>
              <w:t xml:space="preserve">Предусмотреть согласование систем пожарной безопасности и антитеррористической защищенности: в том числе автоматического открывания и закрывания входных дверей (установка электронных замков) (в том числе на эвакуационных выходах) в случае </w:t>
            </w:r>
            <w:proofErr w:type="spellStart"/>
            <w:r w:rsidRPr="00E93D2B">
              <w:rPr>
                <w:rFonts w:ascii="Times New Roman" w:eastAsia="Calibri" w:hAnsi="Times New Roman"/>
                <w:sz w:val="20"/>
                <w:szCs w:val="20"/>
              </w:rPr>
              <w:t>сработки</w:t>
            </w:r>
            <w:proofErr w:type="spellEnd"/>
            <w:r w:rsidRPr="00E93D2B">
              <w:rPr>
                <w:rFonts w:ascii="Times New Roman" w:eastAsia="Calibri" w:hAnsi="Times New Roman"/>
                <w:sz w:val="20"/>
                <w:szCs w:val="20"/>
              </w:rPr>
              <w:t xml:space="preserve"> автоматической пожарной сигнализации, системы охранной сигнализации, системы контроля управления доступом при чрезвычайной ситуации террористического характера либо в случае </w:t>
            </w:r>
            <w:proofErr w:type="gramStart"/>
            <w:r w:rsidRPr="00E93D2B">
              <w:rPr>
                <w:rFonts w:ascii="Times New Roman" w:eastAsia="Calibri" w:hAnsi="Times New Roman"/>
                <w:sz w:val="20"/>
                <w:szCs w:val="20"/>
              </w:rPr>
              <w:t>эвакуации</w:t>
            </w:r>
            <w:proofErr w:type="gramEnd"/>
            <w:r w:rsidRPr="00E93D2B">
              <w:rPr>
                <w:rFonts w:ascii="Times New Roman" w:eastAsia="Calibri" w:hAnsi="Times New Roman"/>
                <w:sz w:val="20"/>
                <w:szCs w:val="20"/>
              </w:rPr>
              <w:t xml:space="preserve"> в том числе для эвакуации людей при пожаре.</w:t>
            </w:r>
          </w:p>
          <w:p w:rsidR="00E93D2B" w:rsidRPr="00E93D2B" w:rsidRDefault="00E93D2B" w:rsidP="00E93D2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lastRenderedPageBreak/>
              <w:t>Предусмотреть установку приборов на стенах, перегородках и конструкциях, изготовленных из негорючих материалов.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lastRenderedPageBreak/>
              <w:t>2.12.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Сети связи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Сети связи: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1. Предусмотреть в здании восстановление существующих сетей радиофикации, телефонизации, локально-вычислительной сети после проведения капитального ремонта.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Локально-вычислительную сеть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ыполнить в соответствии с действующим законодательством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Отдельным разделом предусмотреть мероприятия по обеспечению антитеррористической защищенности: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Предусмотреть и выполнить в соответствии с действующим законодательством, в том числе с «Требованиями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утвержденными Постановлением Правительства РФ от 02.08.2019 № 1006, «Рекомендациями по оборудованию инженерно-техническими средствами охраны социально значимых объектов (территорий), находящихся в сфере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деятельности Министерства просвещения Российской Федерации Федерального казённого учреждения «Научно-исследовательский центр «Охрана» федеральной службы войск национальной гвардии Российской Федерации»: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 оснащение системой передачи тревожных сообщений в подразделения войск национальной гвардии Российской Федерации;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автономную систему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ситуации, оборудованную источником бесперебойного питания;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оснащение объекта и территории системой наружного освещения;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 оснащение объекта и территории системами видеонаблюдения.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Система должна обеспечивать осмотр всего периметра здания, прилегающей территории, групповых площадок.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Предусмотреть установку камер видеонаблюдения при входе в актовый зал, в самих помещениях, а также при входе в помещениях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электрощиотовой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теплоузла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>, узел водоснабжения, расположенных в подвале.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оснащение объекта (территории) системой охранной сигнализации;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- оборудование на 1-м этаже помещения для охраны с установкой в нем систем видеонаблюдения, охранной сигнализации, автономной системы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ситуации,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Федерации), автоматической пожарной сигнализации, системы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оповещения и управления эвакуацией при пожаре;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оснащение стационарными или ручными металлоискателями;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 системы контроля и управления доступом.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>редусмотреть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оснащение входных ворот и калитки на ограждаемую территорию системой контроля </w:t>
            </w:r>
            <w:r w:rsidRPr="00E93D2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доступа: сигнализацией, переговорными устройствами,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видеодомофонами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>, обеспечивая связь между посетителем и постом охраны.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 оборудование ограждения территории высотой порядка 2,5 м.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Предусмотреть согласование систем пожарной безопасности и антитеррористической защищенности: в том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числеавтоматического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открывания и закрывания входных дверей (установка электронных замков) (в том числе на эвакуационных выходах) в случае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сработкиавтоматической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пожарной сигнализации, системы охранной сигнализации, системы контроля управления доступом при чрезвычайной ситуации террористического характера либо в случае эвакуации в том числе, для эвакуации людей при пожаре.</w:t>
            </w:r>
            <w:proofErr w:type="gramEnd"/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Перед началом работ по проектированию Исполнителю необходимо провести обследование здания.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Применяемые проектные решения необходимо предварительно согласовать с Заказчиком.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Состав работ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Требования к составу работ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Состав проектно-сметной документации на создание ЛВС: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1. План помещений и размещенного в них оборудования.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2. Спецификация оборудования.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3. Пояснительная записка с техническим описанием оборудования, и расчетом емкости резервных источников питания.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4. Структурная (скелетная) схема.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5. Схема прокладки кабельных линий.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6. Таблица соединений и подключений оборудования в коммутационных шкафах;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7. Сметный расчет стоимости оборудования и выполняемых работ.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Проектная документация должна содержать требования к качеству, техническим характеристикам, функциональным характеристикам (потребительским свойствам) товара, который будет использован при проведении работ.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Проектная документация может содержать указание на товарные знаки используемого для работ товара. В случае</w:t>
            </w:r>
            <w:proofErr w:type="gram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proofErr w:type="gram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если в проектной документации содержится указание на товарные знаки в отношении товаров, происходящих из иностранного государства или группы иностранных государств, также должно содержать указание на товарный знак в отношении товара российского происхождения (при наличии информации о товаре российского происхождения, являющемся эквивалентом товара, происходящего из иностранного государства или группы иностранных государств).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При указании в проектной документации на товарные знаки они должны сопровождаться словами «или эквивалент», за исключением случаев несовместимости товаров, на которых размещаются другие товарные знаки, необходимости обеспечения взаимодействия таких товаров с товарами, используемыми Заказчиком. При этом в проектной документации должны содержаться технические характеристики, функциональные характеристики (потребительские свойства) товара, позволяющие определить его эквивалентность.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3. Требования для разработки проектно-сметной документации на создание локальной вычислительной сети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3.1. Требования к горизонтальной подсистеме этажа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Горизонтальная подсистема покрывает пространство между 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информационной розеткой на рабочем месте и горизонтальным кроссом в телекоммуникационном шкафу. Она состоит из горизонтальных кабелей, информационных розеток и части горизонтального кросса, которая обслуживает горизонтальный кабель. Каждый этаж должен обслуживаться своей собственной горизонтальной подсистемой (уточняется на стадии проектирования).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Горизонтальная подсистема должна быть выполнена с использованием 4-парного кабеля «неэкранированная витая пара» 100 Ом категория не ниже 5e. Кабель должен удовлетворять следующим требованиям: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должен соответствовать международным стандартам EIA/TIA 568-B.2-1, ISO/IEC 11801; IEC 61156-5, IEC 60332-3-22, IEC 60754-1 и 2, IEC 61034-1 и 2;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проводники – цельнотянутая медная жила диаметром 0.57 мм (23 AWG), диаметр изоляции проводника 1.01 мм;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сопротивление по постоянному току не более 93.8 Ом/</w:t>
            </w:r>
            <w:proofErr w:type="gram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км</w:t>
            </w:r>
            <w:proofErr w:type="gram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(при 20 °С)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волновое сопротивление 100±15 Ом (до 100 МГц)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внешний диаметр кабеля 6,1 мм, материал оболочки ПВХ, LSZH;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температура эксплуатации от -20</w:t>
            </w:r>
            <w:proofErr w:type="gram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°С</w:t>
            </w:r>
            <w:proofErr w:type="gram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до +75°С;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- минимальный радиус изгиба при эксплуатации не более 25 мм, допустимое усилие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тяжения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не менее 110 Н.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вес кабеля не более 40 кг/км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Характеристики пожарной безопасности: Вертикальное распространение пламени (групповая прокладка)</w:t>
            </w:r>
            <w:proofErr w:type="gram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-</w:t>
            </w:r>
            <w:proofErr w:type="spellStart"/>
            <w:proofErr w:type="gram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нг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(А) – категория А (согласно ГОСТ Р МЭК 60332-3-22-2011)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Токсичность продуктов горения Нет (согласно ГОСТ </w:t>
            </w:r>
            <w:proofErr w:type="gram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Р</w:t>
            </w:r>
            <w:proofErr w:type="gram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МЭК 60754-1-2011 и -2-2011)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Оптическая плотность дыма не более 40% (согласно ГОСТ </w:t>
            </w:r>
            <w:proofErr w:type="gram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Р</w:t>
            </w:r>
            <w:proofErr w:type="gram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МЭК 61034-2-2011)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Класс пожарной опасности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 xml:space="preserve">П1б.8.1.2.1 (согласно ГОСТ </w:t>
            </w:r>
            <w:proofErr w:type="gram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cr/>
              <w:t>1565-2012)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Горизонтальная подсистема должна иметь топологическую конфигурацию «звезда». Максимальная протяженность любого горизонтального кабельного сегмента не должна превышать 90м.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Все кабели разводятся на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патч-панели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, устанавливаемые в 19-дюймовых монтажных шкафах.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Кроссы горизонтальной подсистемы должны иметь возможность увеличения количества портов структурированной кабельной системы не менее чем на 15 %. Медные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патч-панели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должны удовлетворять следующим требованиям: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- должны быть предназначены для монтажа в 19-дюймовый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конструктив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, высота панели - 1U/2U;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материал – металл, ёмкость панели – 24/48 порта RJ-45;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должны иметь задний кабельный органайзер для крепления кабелей;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каждый порт панели должен быть пронумерован спереди и сзади. Так же должно быть предусмотрено место для маркировки портов на лицевой части панели;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-должны иметь универсальную конструкцию для возможности использования с экранированным и неэкранированным типами кабельной проводки.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3.2. Требования к подсистеме рабочих мест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Подсистема рабочего места предназначена для подключения конечных потребителей (компьютеров, терминалов, принтеров, телефонов и т. д.) к ЛВС. Включает в себя коммутационные шнуры, адаптеры, а также устройства, позволяющие подключать оконечное оборудование к сети через информационную розетку.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На рабочих местах пользователей должны быть установлены информационные розетки структурированной кабельной системы с 2-мя (либо 3-мя) неэкранированными модульными разъемами категории не ниже 5e. Количество разъемов для подключения оргтехники, в переговорных комнатах и других местах определить при разработке технического задания. Информационные розетки могут быть установлены в настенные короба, скрытой проводкой за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фальшстенами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либо на потолочные колонны (в случае установки розеточных модулей в центре помещения). Место установки розеточных модулей определяется по согласованию с заказчиком на стадии проектирования и с учетом поэтажных планов здания.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Необходимо укомплектовать каждое рабочее место коммутационным шнуром категории 5e с разъемами RJ45 в количестве не менее 1 штуки. Коммутационные шнуры должны удовлетворять следующим требованиям: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- Должны быть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оконцованы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с двух сторон в заводских условиях. Вид разъемов - модульная вилка RJ45, неэкранированная, число пар 4, категории 5e.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Схема разводки проводников T568B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Обратная совместимость с компонентами категорий 5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- Цвет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белый\серый</w:t>
            </w:r>
            <w:proofErr w:type="spellEnd"/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Предварительное размещение рабочих мест ЛВС и способ установки комплектов розеток (в кабельный канал, на стену, в стену и т.д.) указаны в Таблице.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Этаж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 xml:space="preserve">Кол-во рабочих мест/портов 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 xml:space="preserve">Способ установки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комплектов розеток 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 xml:space="preserve">Размещение центра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коммутации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9/26</w:t>
            </w:r>
            <w:proofErr w:type="gram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В</w:t>
            </w:r>
            <w:proofErr w:type="gram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кабельный канал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Серверная комната.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1 этаж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Дополнительно предусмотреть возможность размещения в помещениях общего пребывания (Игровые комнаты, музыкальный зал и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т</w:t>
            </w:r>
            <w:proofErr w:type="gram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.д</w:t>
            </w:r>
            <w:proofErr w:type="spellEnd"/>
            <w:proofErr w:type="gram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) точек доступа беспроводной сети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Wi-Fi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.  Беспроводные точки доступа должны обеспечивать работы беспроводной сети в частотных диапазонах 5ГГц, 2,4ГГц.  Беспроводная сеть должна обеспечивать техническую возможность быстрого (время переключения менее 50 мс) роуминга между точками доступа. Питание точек доступа должно осуществляться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c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 помощью технологии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PoE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PoweroverEthernet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3.3. Требования к административной (вертикальной) подсистеме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Административная подсистема включает в себя коммутационные шнуры, с помощью которых происходит физическое соединений линий подсистем, подключенных к коммутационным панелям.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Для коммутации горизонтальной подсистемы должны использоваться специальные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патчкорды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со стандартными 8-ми контактными разъемами RJ45-RJ45, используемые для выбранной подсистемы интерактивного управления инфраструктурой структурированной кабельной системы.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Коммутационные шнуры должны удовлетворять следующим требованиям: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- Должны быть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оконцованы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с двух сторон в заводских условиях. Вид разъемов - модульная вилка RJ45, экранированная 8-позиционная, 8-контактная, категории не ниже 6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Должны соответствовать международным стандартам ISO/IEC 11801, TIA-568-C.2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- Проводники – многожильные медные размером не менее 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7x0.2 мм, диаметр изоляции проводника не менее 1 мм.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Внешний диаметр кабеля не менее 6 мм, материал оболочки ПВХ, LSZH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Температура эксплуатации от -20</w:t>
            </w:r>
            <w:proofErr w:type="gram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°С</w:t>
            </w:r>
            <w:proofErr w:type="gram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до +75°С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Прочность на разрыв не менее 90 Н, количество циклов коммутации не менее 750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- Длина коммутационного шнура не менее 0,5 метров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Маркировка элементов кабельной системы должна выполняться в соответствии со стандартом ANSI/TIA/EIA 606 и должна быть </w:t>
            </w:r>
            <w:proofErr w:type="gram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легко доступна</w:t>
            </w:r>
            <w:proofErr w:type="gram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и читаема в течение всего срока эксплуатации системы. Систему маркировки элементов структурированной кабельной системы разработать на стадии развития.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Розеточные модули, расположенные в информационной розетке, должны располагаться на коммутационной панели рядом друг с другом (принцип непрерывности).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Распределение коммутационных шнуров по длинам должно обеспечивать возможность формирования отдельных трактов передачи без образования петель при полной загрузке коммутационного поля.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Вертикальная подсистема обеспечивает связь этажных (горизонтальных) кроссов здания с центральным кроссом структурированной кабельной системы.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3.4. Требования к резервированию и надежности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Резервирование структурированной кабельной системы должно производиться на уровне магистральных подсистем.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Резервные кабели должны прокладываться по кабельным трассам, пространственно разнесенным от трасс прокладки основных кабелей. Емкость резервных кабелей по количеству волокон и витых пар должна соответствовать емкости резервируемых кабелей.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Коммутационные панели и полки резервных линий должны располагаться в монтажных шкафах таким образом, чтобы коммутация на них осуществлялась штатными коммутационными шнурами.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Структурированная кабельная система должна обеспечивать постоянные физические характеристики тракта между портом активного оборудования и абонентским (терминальным) оборудованием вне зависимости от трассы коммутации на коммутационном и кроссовом поле (кроссовых полях).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Постоянство физических параметров тракта должно обеспечиваться при последующих изменениях конфигурации кабельной системы при максимальном количестве циклов подключения-отключения по Техническим условиям производителя кабельной системы, но не менее 250 таких циклов.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Разрыв соединения по тракту структурированной кабельной системы должен осуществляться только отключением коммутационных шнуров на коммутационном поле.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Используемые в структурированной кабельной системе оборудование и материалы не должны допускать изменений физико-химических параметров в результате воздействия окружающей среды за пределы, предусмотренные стандартами структурированной кабельной системы, в течение всего срока эксплуатации кабельной системы (не менее 15 лет) при условии соблюдения заданных параметров окружающей среды.</w:t>
            </w:r>
            <w:proofErr w:type="gramEnd"/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3.5. Требования к системе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кабелепроводов</w:t>
            </w:r>
            <w:proofErr w:type="spellEnd"/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Система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кабелепроводов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должна включать в себя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пластиковые кабельные каналы для прокладки кабелей 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внутри помещений;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металлические лотки для прокладки кабелей по коридорам зданий за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фальшпотолком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гофрированные трубки для прокладки кабелей за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фальшстенами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и через сквозные отверстия (закладные) в стенах.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Пластиковые кабельные каналы должны иметь гигиенические сертификаты и сертификаты пожарной безопасности. Емкость кабельных каналов следует рассчитывать исходя из 40% заполнения. В рабочих помещениях следует использовать кабельные каналы единого сечения. Необходимо использовать сопутствующие элементы (внутренние, внешние, плоские углы, заглушки и т.д.) того же производителя, что и самих кабельных каналов.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При отсутствии в коридорах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фальшпотолка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или свободного места за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фальшпотолоком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для прокладки металлического лотка, допускается установка магистрального пластикового канала, что определяется на стадии проектирования. Магистральные каналы должны быть снабжены внутренними перегородками и держателями, сечение должно позволять прокладку всех кабелей с заполнением 50% в месте наибольшего сосредоточения прокладываемых кабелей.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При отсутствии возможности установки металлических лотков и магистральных пластиковых каналов допускается прокладка кабельной магистрали в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гофротрубе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с креплением клипсами к потолочному перекрытию, что также определяется на стадии проектирования.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Недопустима замена одного канала большего размера несколькими параллельными каналами меньшего размера.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При наличии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фальшпотолка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следует использовать металлический лоток перфорированного или сетчатого типа. Заполнение лотка должно быть не более 50%. Металлические конструкции лотков должны быть заземлены. Для обеспечения требований электромагнитной совместимости расстояние между лотками структурированной кабельной системы и электрики должно быть не менее 500 мм.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При выполнении скрытой проводки за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фальшстенами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кабели СКС должны прокладываться в гофрированных трубках отдельно от силовых кабелей.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3.6. Требования к активному оборудованию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Создание ЛВС должно быть обеспечено коммутаторами со следующими техническими характеристиками: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Порты: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10/100/1000BaseT - не менее 24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 xml:space="preserve">выделенный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out-of-band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10/100BaseT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Ethernet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порт управления – 1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Максимальное количество хранимых MAC адресов - не менее 16000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 xml:space="preserve">Максимальное количество </w:t>
            </w:r>
            <w:proofErr w:type="gram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поддерживаемых</w:t>
            </w:r>
            <w:proofErr w:type="gram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VLAN и VLAN ID - не менее 4094;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Количество IPv4 маршрутов - не менее 480;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 xml:space="preserve">Поддержка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Multicast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групп - не менее 256;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Приоритезация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очередей: не менее 8-и аппаратных очередей на каждый абонентский порт;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Списки контроля доступа, устанавливаемые на порту коммутатора должны работать на скорости этого порта (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linerate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);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 xml:space="preserve">Поддержка протоколов защиты от петель 802.1w, 802.1s,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Per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VLAN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SpanningTree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(PVST+);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ab/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Поддержка</w:t>
            </w:r>
            <w:r w:rsidRPr="00E93D2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NTP Server 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E93D2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NTP Client;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Поддержка протокола DHCP (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Client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/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Server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/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Relay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, опция 82);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Поддержка протокола ITU-T Y.1731;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одновременная работа всех портов на скорости среды;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Дизайн для установки в шкаф 19";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Крепежный комплект для установки в коммуникационный шкаф;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ab/>
              <w:t>одновременная работа всех портов на скорости среды;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Все поставляемое оборудование должно быть установлено в коммутационные шкафы и настроено по согласованию с Заказчиком.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3.7. Требования к гарантийным обязательствам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На построенную ЛВС должен быть выдан гарантийный сертификат производителя кабельной системы. Продолжительность системной гарантии должна быть не менее 25 лет.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Порядок проведения сертификации определяется правилами производителя структурированной кабельной системы и должен быть отражен в договоре. Замена гарантийной сертификации производителя гарантиями на работы, выдаваемой системным интегратором, который реализуется проект, запрещается.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Срок предоставления гарантийных обязательств на телекоммуникационный шкаф должен быть не менее 36 месяцев;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Срок предоставления гарантийных обязательств на </w:t>
            </w:r>
            <w:proofErr w:type="spellStart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электроустановочные</w:t>
            </w:r>
            <w:proofErr w:type="spellEnd"/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 xml:space="preserve"> изделия должен быть не менее 12 месяцев;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Активное сетевое оборудование должно быть обеспечено официальной гарантией и технической поддержкой от производителя на территории Российской Федерации сроком на 36 месяцев;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Срок предоставления гарантийных обязательств на проводимые работы должен быть не менее 36 месяцев;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3D2B">
              <w:rPr>
                <w:rFonts w:ascii="Times New Roman" w:hAnsi="Times New Roman"/>
                <w:iCs/>
                <w:sz w:val="20"/>
                <w:szCs w:val="20"/>
              </w:rPr>
              <w:t>Время устранения неисправности по гарантии для структурированной кабельной системы не более 48 часов без расходов со стороны Заказчика. В случае невозможности устранить неисправность в указанное время для активного оборудования должна быть предоставлена аналогичная замена на время ремонта.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lastRenderedPageBreak/>
              <w:t>2.13.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Технологические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1. Раздел «Технологические решения» выполнить в соответствии  с объемом проводимых работ.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2.14.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Наружные инженерные сети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Предусмотреть капитальный ремонт сетей водоснабжения и водоотведения в детском саду до точки присоединения (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согласно акта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балансового разграничения).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2.15.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Требования по утилизации строительных отходов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В сметной документации учесть стоимость перевозки и утилизации строительных отходов на полигон ТКО.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2.16.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Требования к разработке мероприятий по обеспечению энергетической эффективности оснащенности зданий, строений и сооружений приборами учета используемых энергетических ресурсов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В соответствии с паспортом энергосбережения и повышения энергетической эффективности.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Федерального закона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 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2.17.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Требования к составу сметной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Раздел «Сметная документация» разрабатывается в соответствии с требованиями «Методики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утвержденной приказом №421/</w:t>
            </w:r>
            <w:proofErr w:type="spellStart"/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от 04.08.2020</w:t>
            </w: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Метод расчета сметной документации: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базисно-индексный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В составе сметной документации предусмотреть расчет стоимости:</w:t>
            </w: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ab/>
              <w:t>строительный контроль – 2,14%;</w:t>
            </w: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ab/>
              <w:t>непредвиденные затраты – 2%;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•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ab/>
              <w:t>транспортировки с последующей утилизацией всех строительных отходов полученных при демонтажных и монтажных работах.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lastRenderedPageBreak/>
              <w:t>2.18.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Мероприятия по обеспечению доступа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Разработать раздел «Мероприятия по обеспечению доступа инвалидов и других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граждан» в соответствии с действующим законодательством.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2.19.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Мероприятия по организации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Проектными решениями разработать раздел «Проект организации капитального ремонта» в объёме необходимом для проведения работ.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2.20.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Требования к выбору  материалов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Качество применяемых материалов, конструкций, изделий, оборудования и их соответствие санитарным, противопожарным и техническим характеристикам должны подтверждаться сертификатами (паспортами) качества, сертификатами соответствия, гигиеническими сертификатами и другими документами, установленными техническими регламентами</w:t>
            </w: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При выборе материалов, рекомендуется применять продукцию отечественного производства.</w:t>
            </w:r>
          </w:p>
          <w:p w:rsidR="00E93D2B" w:rsidRPr="00E93D2B" w:rsidRDefault="00E93D2B" w:rsidP="00E93D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Выбор материалов согласовать с Заказчиком.</w:t>
            </w:r>
          </w:p>
        </w:tc>
      </w:tr>
      <w:tr w:rsidR="00E93D2B" w:rsidRPr="00AE3B88" w:rsidTr="007E27B7">
        <w:trPr>
          <w:trHeight w:val="273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D2B" w:rsidRPr="00E93D2B" w:rsidRDefault="00E93D2B" w:rsidP="00E93D2B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ДОПОЛНИТЕЛЬНЫЕ ТРЕБОВАНИЯ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Требования о необходимости выполнения инженерно-геологических и, инженерно-геодезических и экологических изысканий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Требования по обеспечению пожарной безопасности 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проектирование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учесть требования пожарной безопасности в соответствии с действующим законодательством.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Требования к порядку предоставления документации для проведения согласований и государственной экспертизы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Проектировщик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 xml:space="preserve"> согласовывает разделы проекта с Заказчиком и КАУ «Государственная экспертиза Алтайского края в установленном порядке в соответствии с условиями Государственного контракта.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Согласовать проектное решение фасада с Заказчиком.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Проектировщик выступает от имени Заказчика в качестве заявителя при обращении в КАУ «Государственная экспертиза Алтайского края» с заявлением о проведении проверки достоверности определения сметной стоимости, с правом заключения, изменения, исполнения, расторжения договора на проведение проверки достоверности сметной стоимости, а также с правом получения положительного заключения на бумажном носителе.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 xml:space="preserve">Проектировщик получает положительное заключение по результатам </w:t>
            </w:r>
            <w:proofErr w:type="gramStart"/>
            <w:r w:rsidRPr="00E93D2B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проведения проверки достоверности определения сметной стоимости Капитального ремонта объекта</w:t>
            </w:r>
            <w:proofErr w:type="gramEnd"/>
            <w:r w:rsidRPr="00E93D2B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 xml:space="preserve"> в соответствующем уполномоченном органе. 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Иная документация.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Часть 1. Перечень мероприятий по гражданской обороне, мероприятий по предупреждению чрезвычайных ситуаций природного и техногенного характера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Требования к оформлению и сдаче материалов проекта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Проектная документация «О составе разделов проектной документации и требования к их содержанию»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ыполняется в соответствии с требованиями нормативной технической документации, актуальной на дату проектирования.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Рабочую документацию оформить в соответствии с </w:t>
            </w:r>
            <w:r w:rsidRPr="00E93D2B">
              <w:rPr>
                <w:rFonts w:ascii="Times New Roman" w:hAnsi="Times New Roman"/>
                <w:sz w:val="20"/>
                <w:szCs w:val="20"/>
              </w:rPr>
              <w:lastRenderedPageBreak/>
              <w:t>требованиями нормативной технической документации, актуальной на дату проектирования.</w:t>
            </w:r>
          </w:p>
        </w:tc>
      </w:tr>
      <w:tr w:rsidR="00E93D2B" w:rsidRPr="00AE3B88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Срок разработки проектной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В течение 120 календарных дней </w:t>
            </w:r>
          </w:p>
          <w:p w:rsidR="00E93D2B" w:rsidRPr="00E93D2B" w:rsidRDefault="00E93D2B" w:rsidP="00E93D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E93D2B" w:rsidRPr="00BC1744" w:rsidTr="007E27B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Порядок сдачи работы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По результату выполненных работ передать Заказчику: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- 4 экземпляра рабочей документации на бумажном носителе;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- 2 экземпляра проектной документации стадия </w:t>
            </w:r>
            <w:proofErr w:type="gramStart"/>
            <w:r w:rsidRPr="00E93D2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 на бумажном носителе;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- 4 экземпляра сметной документации на бумажном носителе.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 xml:space="preserve">- 2 экземпляр на электронном носителе (на </w:t>
            </w:r>
            <w:proofErr w:type="spellStart"/>
            <w:r w:rsidRPr="00E93D2B">
              <w:rPr>
                <w:rFonts w:ascii="Times New Roman" w:hAnsi="Times New Roman"/>
                <w:sz w:val="20"/>
                <w:szCs w:val="20"/>
              </w:rPr>
              <w:t>USB-флеш-накопителе</w:t>
            </w:r>
            <w:proofErr w:type="spellEnd"/>
            <w:r w:rsidRPr="00E93D2B">
              <w:rPr>
                <w:rFonts w:ascii="Times New Roman" w:hAnsi="Times New Roman"/>
                <w:sz w:val="20"/>
                <w:szCs w:val="20"/>
              </w:rPr>
              <w:t xml:space="preserve">) в формате DOC (текстовая часть) и в формате PDF, </w:t>
            </w:r>
            <w:r w:rsidRPr="00E93D2B">
              <w:rPr>
                <w:rFonts w:ascii="Times New Roman" w:hAnsi="Times New Roman"/>
                <w:sz w:val="20"/>
                <w:szCs w:val="20"/>
                <w:lang w:val="en-US"/>
              </w:rPr>
              <w:t>DWG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 xml:space="preserve"> (графическая часть), </w:t>
            </w:r>
            <w:r w:rsidRPr="00E93D2B">
              <w:rPr>
                <w:rFonts w:ascii="Times New Roman" w:hAnsi="Times New Roman"/>
                <w:sz w:val="20"/>
                <w:szCs w:val="20"/>
                <w:lang w:val="en-US"/>
              </w:rPr>
              <w:t>AutoCAD</w:t>
            </w:r>
            <w:r w:rsidRPr="00E93D2B">
              <w:rPr>
                <w:rFonts w:ascii="Times New Roman" w:hAnsi="Times New Roman"/>
                <w:sz w:val="20"/>
                <w:szCs w:val="20"/>
              </w:rPr>
              <w:t xml:space="preserve">. Сметная документация в формате XML.  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Программный сметный файл должен открываться программным комплексом «Гранд-смета».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Структура и название документов в электронном виде должны соответствовать аналогичным документам на бумажных носителях</w:t>
            </w:r>
          </w:p>
          <w:p w:rsidR="00E93D2B" w:rsidRPr="00E93D2B" w:rsidRDefault="00E93D2B" w:rsidP="00E93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D2B">
              <w:rPr>
                <w:rFonts w:ascii="Times New Roman" w:hAnsi="Times New Roman"/>
                <w:sz w:val="20"/>
                <w:szCs w:val="20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</w:tbl>
    <w:p w:rsidR="006E20B6" w:rsidRPr="00E04817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E20B6" w:rsidRPr="00E04817" w:rsidSect="0079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>
    <w:nsid w:val="3D645719"/>
    <w:multiLevelType w:val="multilevel"/>
    <w:tmpl w:val="5E7AD3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1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108E6"/>
    <w:rsid w:val="00036D9E"/>
    <w:rsid w:val="00041260"/>
    <w:rsid w:val="0009768B"/>
    <w:rsid w:val="00097863"/>
    <w:rsid w:val="000C0A41"/>
    <w:rsid w:val="00114FA6"/>
    <w:rsid w:val="00144B6D"/>
    <w:rsid w:val="00197765"/>
    <w:rsid w:val="001A0738"/>
    <w:rsid w:val="001D0A97"/>
    <w:rsid w:val="001F1744"/>
    <w:rsid w:val="001F5782"/>
    <w:rsid w:val="00201481"/>
    <w:rsid w:val="002029EF"/>
    <w:rsid w:val="002064F2"/>
    <w:rsid w:val="00244B34"/>
    <w:rsid w:val="0025318E"/>
    <w:rsid w:val="00260872"/>
    <w:rsid w:val="002E3921"/>
    <w:rsid w:val="002F0B30"/>
    <w:rsid w:val="00337C29"/>
    <w:rsid w:val="003E058A"/>
    <w:rsid w:val="0042250F"/>
    <w:rsid w:val="00436B50"/>
    <w:rsid w:val="00450729"/>
    <w:rsid w:val="0045789A"/>
    <w:rsid w:val="0048549E"/>
    <w:rsid w:val="004C6004"/>
    <w:rsid w:val="004D418A"/>
    <w:rsid w:val="004D6E04"/>
    <w:rsid w:val="004F45FB"/>
    <w:rsid w:val="005036B1"/>
    <w:rsid w:val="00503C9A"/>
    <w:rsid w:val="005165C5"/>
    <w:rsid w:val="00517972"/>
    <w:rsid w:val="005430E8"/>
    <w:rsid w:val="00550A34"/>
    <w:rsid w:val="0055294C"/>
    <w:rsid w:val="0055777C"/>
    <w:rsid w:val="00571AE8"/>
    <w:rsid w:val="005819A9"/>
    <w:rsid w:val="005F7FDE"/>
    <w:rsid w:val="0060095B"/>
    <w:rsid w:val="00690157"/>
    <w:rsid w:val="006A372B"/>
    <w:rsid w:val="006E20B6"/>
    <w:rsid w:val="006E34BF"/>
    <w:rsid w:val="006F49FE"/>
    <w:rsid w:val="00700A32"/>
    <w:rsid w:val="0072181C"/>
    <w:rsid w:val="007453FD"/>
    <w:rsid w:val="00773A29"/>
    <w:rsid w:val="00791A94"/>
    <w:rsid w:val="007965C5"/>
    <w:rsid w:val="00797781"/>
    <w:rsid w:val="007A066D"/>
    <w:rsid w:val="007B310F"/>
    <w:rsid w:val="007C5C3D"/>
    <w:rsid w:val="007E7CD8"/>
    <w:rsid w:val="007F568E"/>
    <w:rsid w:val="008118D0"/>
    <w:rsid w:val="00867F38"/>
    <w:rsid w:val="00890643"/>
    <w:rsid w:val="008A4021"/>
    <w:rsid w:val="00901E93"/>
    <w:rsid w:val="00923807"/>
    <w:rsid w:val="00923975"/>
    <w:rsid w:val="00940863"/>
    <w:rsid w:val="00966549"/>
    <w:rsid w:val="009C3BFD"/>
    <w:rsid w:val="009D3F58"/>
    <w:rsid w:val="009F7484"/>
    <w:rsid w:val="00A61FAF"/>
    <w:rsid w:val="00A731DA"/>
    <w:rsid w:val="00A9729B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120DC"/>
    <w:rsid w:val="00D13D7E"/>
    <w:rsid w:val="00D80AEC"/>
    <w:rsid w:val="00DA2F10"/>
    <w:rsid w:val="00E04817"/>
    <w:rsid w:val="00E269FA"/>
    <w:rsid w:val="00E37EBD"/>
    <w:rsid w:val="00E91BB1"/>
    <w:rsid w:val="00E93D2B"/>
    <w:rsid w:val="00EA4FA3"/>
    <w:rsid w:val="00EB4BA9"/>
    <w:rsid w:val="00ED0B33"/>
    <w:rsid w:val="00EE0B65"/>
    <w:rsid w:val="00F067A9"/>
    <w:rsid w:val="00F21155"/>
    <w:rsid w:val="00F3721E"/>
    <w:rsid w:val="00F42DC4"/>
    <w:rsid w:val="00F442A5"/>
    <w:rsid w:val="00FA07A0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93D2B"/>
    <w:pPr>
      <w:keepNext/>
      <w:widowControl w:val="0"/>
      <w:numPr>
        <w:numId w:val="15"/>
      </w:numPr>
      <w:autoSpaceDE w:val="0"/>
      <w:spacing w:before="240" w:after="60" w:line="240" w:lineRule="auto"/>
      <w:outlineLvl w:val="0"/>
    </w:pPr>
    <w:rPr>
      <w:rFonts w:ascii="Cambria" w:hAnsi="Cambria" w:cs="Cambria"/>
      <w:b/>
      <w:bCs/>
      <w:kern w:val="2"/>
      <w:sz w:val="32"/>
      <w:szCs w:val="32"/>
      <w:lang w:val="en-US" w:eastAsia="zh-CN"/>
    </w:rPr>
  </w:style>
  <w:style w:type="paragraph" w:styleId="2">
    <w:name w:val="heading 2"/>
    <w:basedOn w:val="a"/>
    <w:next w:val="a"/>
    <w:link w:val="20"/>
    <w:qFormat/>
    <w:rsid w:val="00E93D2B"/>
    <w:pPr>
      <w:keepNext/>
      <w:widowControl w:val="0"/>
      <w:numPr>
        <w:ilvl w:val="1"/>
        <w:numId w:val="15"/>
      </w:numPr>
      <w:autoSpaceDE w:val="0"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val="en-US" w:eastAsia="zh-CN"/>
    </w:rPr>
  </w:style>
  <w:style w:type="paragraph" w:styleId="3">
    <w:name w:val="heading 3"/>
    <w:basedOn w:val="a"/>
    <w:next w:val="a"/>
    <w:link w:val="30"/>
    <w:qFormat/>
    <w:rsid w:val="00E93D2B"/>
    <w:pPr>
      <w:keepNext/>
      <w:keepLines/>
      <w:numPr>
        <w:ilvl w:val="2"/>
        <w:numId w:val="15"/>
      </w:numPr>
      <w:spacing w:before="200" w:after="0" w:line="240" w:lineRule="auto"/>
      <w:outlineLvl w:val="2"/>
    </w:pPr>
    <w:rPr>
      <w:rFonts w:ascii="Cambria" w:hAnsi="Cambria" w:cs="Cambria"/>
      <w:b/>
      <w:bCs/>
      <w:color w:val="4F81BD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qFormat/>
    <w:rsid w:val="00E93D2B"/>
    <w:pPr>
      <w:keepNext/>
      <w:widowControl w:val="0"/>
      <w:numPr>
        <w:ilvl w:val="3"/>
        <w:numId w:val="15"/>
      </w:numPr>
      <w:autoSpaceDE w:val="0"/>
      <w:spacing w:before="240" w:after="60" w:line="240" w:lineRule="auto"/>
      <w:outlineLvl w:val="3"/>
    </w:pPr>
    <w:rPr>
      <w:rFonts w:cs="Calibri"/>
      <w:b/>
      <w:bCs/>
      <w:sz w:val="28"/>
      <w:szCs w:val="28"/>
      <w:lang w:val="en-US" w:eastAsia="zh-CN"/>
    </w:rPr>
  </w:style>
  <w:style w:type="paragraph" w:styleId="6">
    <w:name w:val="heading 6"/>
    <w:basedOn w:val="a"/>
    <w:next w:val="a"/>
    <w:link w:val="60"/>
    <w:qFormat/>
    <w:rsid w:val="00E93D2B"/>
    <w:pPr>
      <w:widowControl w:val="0"/>
      <w:numPr>
        <w:ilvl w:val="5"/>
        <w:numId w:val="15"/>
      </w:numPr>
      <w:autoSpaceDE w:val="0"/>
      <w:spacing w:before="240" w:after="60" w:line="240" w:lineRule="auto"/>
      <w:outlineLvl w:val="5"/>
    </w:pPr>
    <w:rPr>
      <w:rFonts w:cs="Calibri"/>
      <w:b/>
      <w:bCs/>
      <w:lang w:val="en-US" w:eastAsia="zh-CN"/>
    </w:rPr>
  </w:style>
  <w:style w:type="paragraph" w:styleId="7">
    <w:name w:val="heading 7"/>
    <w:basedOn w:val="a"/>
    <w:next w:val="a"/>
    <w:link w:val="70"/>
    <w:qFormat/>
    <w:rsid w:val="00E93D2B"/>
    <w:pPr>
      <w:widowControl w:val="0"/>
      <w:numPr>
        <w:ilvl w:val="6"/>
        <w:numId w:val="15"/>
      </w:numPr>
      <w:autoSpaceDE w:val="0"/>
      <w:spacing w:before="240" w:after="60" w:line="240" w:lineRule="auto"/>
      <w:outlineLvl w:val="6"/>
    </w:pPr>
    <w:rPr>
      <w:rFonts w:cs="Calibri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E93D2B"/>
    <w:pPr>
      <w:widowControl w:val="0"/>
      <w:numPr>
        <w:ilvl w:val="7"/>
        <w:numId w:val="15"/>
      </w:numPr>
      <w:autoSpaceDE w:val="0"/>
      <w:spacing w:before="240" w:after="60" w:line="240" w:lineRule="auto"/>
      <w:outlineLvl w:val="7"/>
    </w:pPr>
    <w:rPr>
      <w:rFonts w:cs="Calibri"/>
      <w:i/>
      <w:iCs/>
      <w:sz w:val="24"/>
      <w:szCs w:val="24"/>
      <w:lang w:val="en-US" w:eastAsia="zh-CN"/>
    </w:rPr>
  </w:style>
  <w:style w:type="paragraph" w:styleId="9">
    <w:name w:val="heading 9"/>
    <w:basedOn w:val="a"/>
    <w:next w:val="a"/>
    <w:link w:val="90"/>
    <w:qFormat/>
    <w:rsid w:val="00E93D2B"/>
    <w:pPr>
      <w:widowControl w:val="0"/>
      <w:numPr>
        <w:ilvl w:val="8"/>
        <w:numId w:val="15"/>
      </w:numPr>
      <w:autoSpaceDE w:val="0"/>
      <w:spacing w:before="240" w:after="60" w:line="240" w:lineRule="auto"/>
      <w:outlineLvl w:val="8"/>
    </w:pPr>
    <w:rPr>
      <w:rFonts w:ascii="Cambria" w:hAnsi="Cambria" w:cs="Cambr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93D2B"/>
    <w:rPr>
      <w:rFonts w:ascii="Cambria" w:eastAsia="Times New Roman" w:hAnsi="Cambria" w:cs="Cambria"/>
      <w:b/>
      <w:bCs/>
      <w:kern w:val="2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rsid w:val="00E93D2B"/>
    <w:rPr>
      <w:rFonts w:ascii="Cambria" w:eastAsia="Times New Roman" w:hAnsi="Cambria" w:cs="Cambria"/>
      <w:b/>
      <w:bCs/>
      <w:i/>
      <w:iCs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rsid w:val="00E93D2B"/>
    <w:rPr>
      <w:rFonts w:ascii="Cambria" w:eastAsia="Times New Roman" w:hAnsi="Cambria" w:cs="Cambria"/>
      <w:b/>
      <w:bCs/>
      <w:color w:val="4F81BD"/>
      <w:sz w:val="24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rsid w:val="00E93D2B"/>
    <w:rPr>
      <w:rFonts w:ascii="Calibri" w:eastAsia="Times New Roman" w:hAnsi="Calibri" w:cs="Calibri"/>
      <w:b/>
      <w:bCs/>
      <w:sz w:val="28"/>
      <w:szCs w:val="28"/>
      <w:lang w:val="en-US" w:eastAsia="zh-CN"/>
    </w:rPr>
  </w:style>
  <w:style w:type="character" w:customStyle="1" w:styleId="60">
    <w:name w:val="Заголовок 6 Знак"/>
    <w:basedOn w:val="a0"/>
    <w:link w:val="6"/>
    <w:rsid w:val="00E93D2B"/>
    <w:rPr>
      <w:rFonts w:ascii="Calibri" w:eastAsia="Times New Roman" w:hAnsi="Calibri" w:cs="Calibri"/>
      <w:b/>
      <w:bCs/>
      <w:lang w:val="en-US" w:eastAsia="zh-CN"/>
    </w:rPr>
  </w:style>
  <w:style w:type="character" w:customStyle="1" w:styleId="70">
    <w:name w:val="Заголовок 7 Знак"/>
    <w:basedOn w:val="a0"/>
    <w:link w:val="7"/>
    <w:rsid w:val="00E93D2B"/>
    <w:rPr>
      <w:rFonts w:ascii="Calibri" w:eastAsia="Times New Roman" w:hAnsi="Calibri" w:cs="Calibri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rsid w:val="00E93D2B"/>
    <w:rPr>
      <w:rFonts w:ascii="Calibri" w:eastAsia="Times New Roman" w:hAnsi="Calibri" w:cs="Calibri"/>
      <w:i/>
      <w:iCs/>
      <w:sz w:val="24"/>
      <w:szCs w:val="24"/>
      <w:lang w:val="en-US" w:eastAsia="zh-CN"/>
    </w:rPr>
  </w:style>
  <w:style w:type="character" w:customStyle="1" w:styleId="90">
    <w:name w:val="Заголовок 9 Знак"/>
    <w:basedOn w:val="a0"/>
    <w:link w:val="9"/>
    <w:rsid w:val="00E93D2B"/>
    <w:rPr>
      <w:rFonts w:ascii="Cambria" w:eastAsia="Times New Roman" w:hAnsi="Cambria" w:cs="Cambria"/>
      <w:lang w:val="en-US" w:eastAsia="zh-CN"/>
    </w:rPr>
  </w:style>
  <w:style w:type="character" w:customStyle="1" w:styleId="s2">
    <w:name w:val="s2"/>
    <w:qFormat/>
    <w:rsid w:val="00E93D2B"/>
  </w:style>
  <w:style w:type="paragraph" w:customStyle="1" w:styleId="ConsPlusNormal">
    <w:name w:val="ConsPlusNormal"/>
    <w:link w:val="ConsPlusNormal0"/>
    <w:qFormat/>
    <w:rsid w:val="00E93D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E93D2B"/>
    <w:rPr>
      <w:rFonts w:ascii="Arial" w:eastAsiaTheme="minorEastAsia" w:hAnsi="Arial" w:cs="Arial"/>
      <w:sz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93D2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17</Pages>
  <Words>6659</Words>
  <Characters>37957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40</cp:revision>
  <cp:lastPrinted>2025-04-22T01:44:00Z</cp:lastPrinted>
  <dcterms:created xsi:type="dcterms:W3CDTF">2022-01-21T03:28:00Z</dcterms:created>
  <dcterms:modified xsi:type="dcterms:W3CDTF">2025-04-22T01:44:00Z</dcterms:modified>
</cp:coreProperties>
</file>