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5A" w:rsidRDefault="00842B5A">
      <w:pPr>
        <w:rPr>
          <w:b/>
          <w:sz w:val="22"/>
        </w:rPr>
      </w:pPr>
    </w:p>
    <w:p w:rsidR="00842B5A" w:rsidRDefault="006F3AB3">
      <w:pPr>
        <w:jc w:val="center"/>
        <w:rPr>
          <w:b/>
          <w:sz w:val="22"/>
        </w:rPr>
      </w:pPr>
      <w:r>
        <w:rPr>
          <w:b/>
          <w:sz w:val="22"/>
        </w:rPr>
        <w:t>ОБОСНОВАНИЕ НАЧАЛЬНОЙ (МАКСИМАЛЬНОЙ) ЦЕНЫ КОНТРАКТА</w:t>
      </w:r>
    </w:p>
    <w:p w:rsidR="00842B5A" w:rsidRDefault="00842B5A">
      <w:pPr>
        <w:rPr>
          <w:b/>
          <w:sz w:val="22"/>
        </w:rPr>
      </w:pPr>
    </w:p>
    <w:p w:rsidR="00842B5A" w:rsidRDefault="006F3AB3">
      <w:pPr>
        <w:ind w:firstLine="567"/>
        <w:jc w:val="both"/>
        <w:rPr>
          <w:sz w:val="22"/>
        </w:rPr>
      </w:pPr>
      <w:r>
        <w:rPr>
          <w:b/>
          <w:sz w:val="22"/>
        </w:rPr>
        <w:t>1. Используемый метод определения начальной (максимальной) цены контракта:</w:t>
      </w:r>
    </w:p>
    <w:p w:rsidR="00842B5A" w:rsidRDefault="006F3AB3" w:rsidP="006F3AB3">
      <w:pPr>
        <w:ind w:firstLine="567"/>
        <w:jc w:val="both"/>
        <w:rPr>
          <w:sz w:val="22"/>
        </w:rPr>
      </w:pPr>
      <w:r>
        <w:rPr>
          <w:sz w:val="22"/>
        </w:rPr>
        <w:t>Применение методов определения начальной (максимальной) цены контракта, предусмотренных ч.1 ст. 22 Закона № 44-ФЗ, невозможно по следующим основаниям:</w:t>
      </w:r>
    </w:p>
    <w:p w:rsidR="00842B5A" w:rsidRDefault="00842B5A" w:rsidP="006F3AB3">
      <w:pPr>
        <w:ind w:firstLine="567"/>
        <w:jc w:val="both"/>
        <w:rPr>
          <w:sz w:val="22"/>
        </w:rPr>
      </w:pPr>
    </w:p>
    <w:p w:rsidR="00842B5A" w:rsidRDefault="006F3AB3" w:rsidP="006F3AB3">
      <w:pPr>
        <w:ind w:firstLine="567"/>
        <w:jc w:val="both"/>
      </w:pPr>
      <w:r>
        <w:rPr>
          <w:sz w:val="22"/>
        </w:rPr>
        <w:t xml:space="preserve">Метод определения начальной (максимальной) цены контракта: иной метод - сметный (в соответствии с п.12 ст.22 Федерального закона № 44-ФЗ). 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В соответствии с ч.12 ст.22 Федерального закона от 05.04.2013 №44-ФЗ «О контрактной системе в сфере закупок товаров работ, услуг для обеспечения государственных и муниципальных нужд» (далее – 44-ФЗ) в случае невозможности применения для определения начальной (максимальной) цены контракта следующих методов: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1) метод сопоставимых рыночных цен (анализа рынка);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2) нормативный метод;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3) тарифный метод;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4) проектно-сметный метод;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5) затратный метод.</w:t>
      </w:r>
    </w:p>
    <w:p w:rsidR="00842B5A" w:rsidRDefault="006F3AB3" w:rsidP="006F3AB3">
      <w:pPr>
        <w:jc w:val="both"/>
      </w:pPr>
      <w:r>
        <w:rPr>
          <w:sz w:val="22"/>
        </w:rPr>
        <w:t>Заказчик вправе применять иные методы.</w:t>
      </w:r>
    </w:p>
    <w:p w:rsidR="00842B5A" w:rsidRDefault="006F3AB3" w:rsidP="006F3AB3">
      <w:pPr>
        <w:ind w:firstLine="708"/>
        <w:jc w:val="both"/>
      </w:pPr>
      <w:r>
        <w:rPr>
          <w:sz w:val="22"/>
        </w:rPr>
        <w:t>Таким образом, невозможность применения вышеуказанных методов обосновывается следующим.</w:t>
      </w:r>
    </w:p>
    <w:p w:rsidR="00842B5A" w:rsidRDefault="006F3AB3" w:rsidP="006F3AB3">
      <w:pPr>
        <w:ind w:firstLine="708"/>
        <w:jc w:val="both"/>
      </w:pPr>
      <w:r>
        <w:rPr>
          <w:sz w:val="22"/>
        </w:rPr>
        <w:t>1. Метод сопоставимых рыночных цен (анализ рынка) не применен ввиду того, что на рынке отсутствуют идентичны</w:t>
      </w:r>
      <w:r w:rsidR="005C3BD8">
        <w:rPr>
          <w:sz w:val="22"/>
        </w:rPr>
        <w:t>е</w:t>
      </w:r>
      <w:r>
        <w:rPr>
          <w:sz w:val="22"/>
        </w:rPr>
        <w:t xml:space="preserve"> и однородны</w:t>
      </w:r>
      <w:r w:rsidR="005C3BD8">
        <w:rPr>
          <w:sz w:val="22"/>
        </w:rPr>
        <w:t>е</w:t>
      </w:r>
      <w:r>
        <w:rPr>
          <w:sz w:val="22"/>
        </w:rPr>
        <w:t xml:space="preserve"> работ, совпадающи</w:t>
      </w:r>
      <w:r w:rsidR="005C3BD8">
        <w:rPr>
          <w:sz w:val="22"/>
        </w:rPr>
        <w:t>е</w:t>
      </w:r>
      <w:r>
        <w:rPr>
          <w:sz w:val="22"/>
        </w:rPr>
        <w:t xml:space="preserve"> по функциональным, техническим, качественным и эксплуатационным характеристикам с объектом закупки (определяемым в соответствии с требованиями ст.33 Федерального закона № 44-ФЗ).</w:t>
      </w:r>
    </w:p>
    <w:p w:rsidR="00842B5A" w:rsidRDefault="006F3AB3" w:rsidP="006F3AB3">
      <w:pPr>
        <w:ind w:firstLine="708"/>
        <w:jc w:val="both"/>
      </w:pPr>
      <w:r>
        <w:rPr>
          <w:sz w:val="22"/>
        </w:rPr>
        <w:t xml:space="preserve">2. Нормативный метод определения начальной (максимальной) цены контракта не применен в связи с тем, что в соответствии с ч.7 ст. 22 Закона нормативный метод заключается в расчете начальной (максимальной) цены контракта на основе требований к закупаемым товарам, установленным в соответствии со ст. 19 Закона. Объект закупки </w:t>
      </w:r>
      <w:r>
        <w:rPr>
          <w:sz w:val="22"/>
          <w:highlight w:val="white"/>
        </w:rPr>
        <w:t>не подлежит нормированию в сфере закупок.</w:t>
      </w:r>
    </w:p>
    <w:p w:rsidR="00842B5A" w:rsidRDefault="006F3AB3" w:rsidP="006F3AB3">
      <w:pPr>
        <w:ind w:firstLine="708"/>
        <w:jc w:val="both"/>
      </w:pPr>
      <w:r>
        <w:rPr>
          <w:sz w:val="22"/>
        </w:rPr>
        <w:t>3. Тарифный метод определения начальной (максимальной) цены контракта не применен в связи с тем, что объект закупки в соответствии с законодательством РФ не относится к перечню товаров, работ и услуг, цены на которые подлежат государственному регулированию или установлены муниципальными правовыми актами.</w:t>
      </w:r>
    </w:p>
    <w:p w:rsidR="00842B5A" w:rsidRDefault="006F3AB3" w:rsidP="006F3AB3">
      <w:pPr>
        <w:ind w:firstLine="708"/>
        <w:jc w:val="both"/>
      </w:pPr>
      <w:r>
        <w:rPr>
          <w:sz w:val="22"/>
        </w:rPr>
        <w:t xml:space="preserve">4. Проектно-сметный метод определения начальной (максимальной) цены контракта не применим, применен в связи с тем, что объект закупки не соответствует перечню объектов, указанных в п.9 и п.9.1 ст.22 Федерального закона № 44-ФЗ. </w:t>
      </w:r>
    </w:p>
    <w:p w:rsidR="00842B5A" w:rsidRDefault="006F3AB3" w:rsidP="006F3AB3">
      <w:pPr>
        <w:ind w:firstLine="567"/>
        <w:jc w:val="both"/>
      </w:pPr>
      <w:r>
        <w:rPr>
          <w:sz w:val="22"/>
        </w:rPr>
        <w:t>5. Затратный метод определения начальной (максимальной) цены контракта не применим в связи с тем, что данный метод заключается в определении начальной (максимальной) цены контракта как суммы произведенных затрат и обычной для определенной сферы деятельности прибыли. Данные о произведенных затратах и обычной для данной сфер деятельности прибыли у Заказчика отсутствуют.</w:t>
      </w:r>
    </w:p>
    <w:p w:rsidR="00842B5A" w:rsidRDefault="00842B5A">
      <w:pPr>
        <w:ind w:firstLine="567"/>
        <w:jc w:val="both"/>
        <w:rPr>
          <w:sz w:val="22"/>
        </w:rPr>
      </w:pPr>
    </w:p>
    <w:p w:rsidR="00842B5A" w:rsidRDefault="006F3AB3">
      <w:pPr>
        <w:ind w:firstLine="567"/>
        <w:jc w:val="both"/>
        <w:rPr>
          <w:b/>
          <w:sz w:val="22"/>
        </w:rPr>
      </w:pPr>
      <w:r>
        <w:rPr>
          <w:b/>
          <w:sz w:val="22"/>
        </w:rPr>
        <w:t xml:space="preserve">Учитывая вышеизложенное, Заказчиком в соответствии с ч. 12 ст. 22 Закона № 44-ФЗ применяется иной метод – сметный. </w:t>
      </w:r>
    </w:p>
    <w:p w:rsidR="00842B5A" w:rsidRDefault="00842B5A">
      <w:pPr>
        <w:ind w:firstLine="567"/>
        <w:jc w:val="both"/>
        <w:rPr>
          <w:b/>
          <w:sz w:val="22"/>
        </w:rPr>
      </w:pPr>
    </w:p>
    <w:p w:rsidR="00842B5A" w:rsidRDefault="006F3AB3">
      <w:pPr>
        <w:ind w:firstLine="567"/>
        <w:jc w:val="both"/>
        <w:rPr>
          <w:b/>
          <w:sz w:val="22"/>
        </w:rPr>
      </w:pPr>
      <w:r>
        <w:rPr>
          <w:b/>
          <w:sz w:val="22"/>
        </w:rPr>
        <w:t>2. Расчет начальной (максимальной) цены контракта в соответствии с выбранным методом обоснования:</w:t>
      </w:r>
    </w:p>
    <w:p w:rsidR="00842B5A" w:rsidRDefault="006F3AB3" w:rsidP="0023598A">
      <w:pPr>
        <w:ind w:firstLine="709"/>
        <w:jc w:val="both"/>
        <w:rPr>
          <w:sz w:val="22"/>
        </w:rPr>
      </w:pPr>
      <w:r>
        <w:rPr>
          <w:sz w:val="22"/>
        </w:rPr>
        <w:t xml:space="preserve">Обоснование начальной (максимальной) цены контракта установлено </w:t>
      </w:r>
      <w:r w:rsidR="0082217F">
        <w:rPr>
          <w:sz w:val="22"/>
        </w:rPr>
        <w:t xml:space="preserve">с использованием </w:t>
      </w:r>
      <w:r w:rsidR="0082217F" w:rsidRPr="0082217F">
        <w:rPr>
          <w:sz w:val="22"/>
        </w:rPr>
        <w:t>сметных нормативов</w:t>
      </w:r>
      <w:r w:rsidR="0082217F">
        <w:rPr>
          <w:sz w:val="22"/>
        </w:rPr>
        <w:t xml:space="preserve"> (ГЭСН)</w:t>
      </w:r>
      <w:r w:rsidR="0082217F" w:rsidRPr="0082217F">
        <w:rPr>
          <w:sz w:val="22"/>
        </w:rPr>
        <w:t>, сведения о которых включены в федеральн</w:t>
      </w:r>
      <w:r w:rsidR="0082217F">
        <w:rPr>
          <w:sz w:val="22"/>
        </w:rPr>
        <w:t>ый</w:t>
      </w:r>
      <w:r w:rsidR="0082217F" w:rsidRPr="0082217F">
        <w:rPr>
          <w:sz w:val="22"/>
        </w:rPr>
        <w:t xml:space="preserve"> реестр сметных нормативов, утвержденным приказом Министерства строительства и жилищно-коммунального хозяйства Российской Федерации от 24 октября 2017 г. </w:t>
      </w:r>
      <w:r w:rsidR="0023598A">
        <w:rPr>
          <w:sz w:val="22"/>
        </w:rPr>
        <w:t>№</w:t>
      </w:r>
      <w:r w:rsidR="0082217F" w:rsidRPr="0082217F">
        <w:rPr>
          <w:sz w:val="22"/>
        </w:rPr>
        <w:t>1470/пр</w:t>
      </w:r>
      <w:r>
        <w:rPr>
          <w:sz w:val="22"/>
        </w:rPr>
        <w:t>.</w:t>
      </w:r>
    </w:p>
    <w:p w:rsidR="00842B5A" w:rsidRDefault="006F3AB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Локальный сметный расчет</w:t>
      </w:r>
      <w:r w:rsidRPr="006F3AB3">
        <w:rPr>
          <w:sz w:val="22"/>
        </w:rPr>
        <w:t xml:space="preserve"> </w:t>
      </w:r>
      <w:r>
        <w:rPr>
          <w:sz w:val="22"/>
        </w:rPr>
        <w:t>приложен в виде отдельного файла, являющегося неотъемлемой частью обоснования начальной (максимальной) цены контракта.</w:t>
      </w:r>
    </w:p>
    <w:p w:rsidR="005C3BD8" w:rsidRDefault="005C3BD8">
      <w:pPr>
        <w:widowControl w:val="0"/>
        <w:ind w:firstLine="567"/>
        <w:jc w:val="both"/>
        <w:rPr>
          <w:sz w:val="22"/>
        </w:rPr>
      </w:pPr>
    </w:p>
    <w:p w:rsidR="005C3BD8" w:rsidRDefault="005C3BD8">
      <w:pPr>
        <w:widowControl w:val="0"/>
        <w:ind w:firstLine="567"/>
        <w:jc w:val="both"/>
        <w:rPr>
          <w:sz w:val="22"/>
        </w:rPr>
      </w:pPr>
    </w:p>
    <w:p w:rsidR="005C3BD8" w:rsidRDefault="005C3BD8">
      <w:pPr>
        <w:widowControl w:val="0"/>
        <w:ind w:firstLine="567"/>
        <w:jc w:val="both"/>
        <w:rPr>
          <w:sz w:val="22"/>
        </w:rPr>
      </w:pPr>
    </w:p>
    <w:tbl>
      <w:tblPr>
        <w:tblW w:w="9417" w:type="dxa"/>
        <w:tblInd w:w="113" w:type="dxa"/>
        <w:tblLayout w:type="fixed"/>
        <w:tblLook w:val="04A0"/>
      </w:tblPr>
      <w:tblGrid>
        <w:gridCol w:w="591"/>
        <w:gridCol w:w="5670"/>
        <w:gridCol w:w="992"/>
        <w:gridCol w:w="993"/>
        <w:gridCol w:w="9"/>
        <w:gridCol w:w="1153"/>
        <w:gridCol w:w="9"/>
      </w:tblGrid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66" w:rsidRPr="00DF7166" w:rsidRDefault="00DF7166" w:rsidP="00163344">
            <w:pPr>
              <w:tabs>
                <w:tab w:val="left" w:pos="200"/>
              </w:tabs>
              <w:ind w:left="-84" w:right="-14"/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Количество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Цена за ед., руб. с НДС (22%)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(ГЭСН27-09-016-07) с посыпкой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</w:t>
            </w:r>
            <w:proofErr w:type="spellEnd"/>
            <w:r w:rsidRPr="00DF7166">
              <w:rPr>
                <w:sz w:val="22"/>
                <w:szCs w:val="22"/>
              </w:rPr>
              <w:t xml:space="preserve"> </w:t>
            </w:r>
            <w:proofErr w:type="spellStart"/>
            <w:r w:rsidRPr="00DF7166">
              <w:rPr>
                <w:sz w:val="22"/>
                <w:szCs w:val="22"/>
              </w:rPr>
              <w:t>стеклонаполнителем</w:t>
            </w:r>
            <w:proofErr w:type="spellEnd"/>
            <w:r w:rsidRPr="00DF7166">
              <w:rPr>
                <w:sz w:val="22"/>
                <w:szCs w:val="22"/>
              </w:rPr>
              <w:t xml:space="preserve"> одновременно с нанесением линий разметки из лакокрасочных материалов (ГЭСН27-09-016-08)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1644,72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 м, сплошной (ГЭСН27-09-018-02)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174,28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0,15 м, сплошной (ГЭСН27-09-018-03)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162,48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 м, прерывистой, шаг 1:1 (ГЭСН27-09-018-06)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206,90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0,15 м, прерывистой, шаг 1:1 (ГЭСН27-09-018-07)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184,45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 м, прерывистой, шаг 1:3 (ГЭСН27-09-018-09)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273,74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0,15 м, прерывистой, шаг 1:3 (ГЭСН27-09-018-10)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229,74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 м, прерывистой, шаг 3:1 (ГЭСН27-09-018-13)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184,45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механизированным способом, шириной: 0,15 м, прерывистой, шаг 3:1 (ГЭСН27-09-018-14)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170,19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горизонтальной дорожной разметки краской вручную: дублирующие знаки (ГЭСН27-09-018-16)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1562,75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горизонтальной дорожной разметки краской вручную: островки безопасности, пешеходные переходы, стоп-линии (ГЭСН27-09-018-17)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420,68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горизонтальной дорожной разметки краской вручную: стрелы, буквы (ГЭСН27-09-018-18)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872,68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 м, сплошной (ГЭСН27-09-017-01)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1307,64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0,15 м, сплошной (ГЭСН27-09-017-05)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1287,98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 м, прерывистой, шаг 1:1 (ГЭСН27-09-017-02)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1338,59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0,15 м, прерывистой, шаг 1:1 (ГЭСН27-09-017-06)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1306,23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 м, прерывистой, шаг 1:3 (ГЭСН27-09-017-03)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1425,16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0,15 м, прерывистой, шаг 1:3 (ГЭСН27-09-017-07)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1363,61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 м, прерывистой, шаг 3:1 (ГЭСН27-09-017-04)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1310,48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линии горизонтальной дорожной разметки термопластиком маркировочной машиной, шириной: 0,15 м, прерывистой, шаг 3:1 (ГЭСН27-09-017-08)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1290,99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горизонтальной дорожной разметки термопластиком шириной 0,4м (ГЭСН27-09-017-15)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1296,54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дорожной разметки холодным пластиком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вручную с применением трафаретной самоклеящейся ленты: дублирующие знаки (ГЭСН27-09-031-02)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11754,82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дорожной разметки холодным пластиком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вручную с применением трафаретной самоклеящейся ленты: островки безопасности, пешеходные переходы, стоп-линии (ГЭСН27-09-031-03)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6127,59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 xml:space="preserve">Нанесение дорожной разметки холодным пластиком со </w:t>
            </w:r>
            <w:proofErr w:type="spellStart"/>
            <w:r w:rsidRPr="00DF7166">
              <w:rPr>
                <w:sz w:val="22"/>
                <w:szCs w:val="22"/>
              </w:rPr>
              <w:t>световозвращающими</w:t>
            </w:r>
            <w:proofErr w:type="spellEnd"/>
            <w:r w:rsidRPr="00DF7166">
              <w:rPr>
                <w:sz w:val="22"/>
                <w:szCs w:val="22"/>
              </w:rPr>
              <w:t xml:space="preserve"> элементами вручную с применением трафаретной самоклеящейся ленты: стрелы и буквы (ГЭСН27-09-031-04)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7884,24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вертикальной разметки 2.7 на бетонный бордюр вручную (ГЭСН27-09-032-02)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609,83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Нанесение вертикальной разметки 2.7 на эксплуатируемый бордюр с изношенной разметкой вручную (ГЭСН27-09-032-03)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462,27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Удаление линий разметки методом выжигания при толщине слоя не более 3 мм: из краски (ГЭСН27-09-041-01)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424,87</w:t>
            </w:r>
          </w:p>
        </w:tc>
      </w:tr>
      <w:tr w:rsidR="00DF7166" w:rsidRPr="00DF7166" w:rsidTr="006213BD">
        <w:trPr>
          <w:gridAfter w:val="1"/>
          <w:wAfter w:w="9" w:type="dxa"/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DF7166" w:rsidRDefault="00DF7166" w:rsidP="00DF7166">
            <w:pPr>
              <w:pStyle w:val="a9"/>
              <w:numPr>
                <w:ilvl w:val="0"/>
                <w:numId w:val="1"/>
              </w:numPr>
              <w:tabs>
                <w:tab w:val="left" w:pos="200"/>
              </w:tabs>
              <w:ind w:left="-84" w:right="-14" w:firstLine="0"/>
              <w:jc w:val="center"/>
              <w:rPr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Удаление линий разметки методом выжигания при толщине слоя не более 3 мм: из пластиков и полимерных материалов (ГЭСН27-09-041-02)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м</w:t>
            </w:r>
            <w:r w:rsidRPr="00DF71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</w:p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DF7166" w:rsidRDefault="00DF7166" w:rsidP="00163344">
            <w:pPr>
              <w:jc w:val="center"/>
              <w:rPr>
                <w:szCs w:val="22"/>
              </w:rPr>
            </w:pPr>
            <w:r w:rsidRPr="00DF7166">
              <w:rPr>
                <w:sz w:val="22"/>
                <w:szCs w:val="22"/>
              </w:rPr>
              <w:t>1277,56</w:t>
            </w:r>
          </w:p>
        </w:tc>
      </w:tr>
      <w:tr w:rsidR="00DF7166" w:rsidRPr="006213BD" w:rsidTr="006213BD">
        <w:trPr>
          <w:trHeight w:val="600"/>
        </w:trPr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6213BD" w:rsidRDefault="00DF7166" w:rsidP="00163344">
            <w:pPr>
              <w:jc w:val="center"/>
              <w:rPr>
                <w:szCs w:val="22"/>
              </w:rPr>
            </w:pPr>
            <w:r w:rsidRPr="006213BD">
              <w:rPr>
                <w:sz w:val="22"/>
                <w:szCs w:val="22"/>
              </w:rPr>
              <w:t>Начальная сумма цен единиц работ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6213BD" w:rsidRDefault="001A097D" w:rsidP="00163344">
            <w:pPr>
              <w:jc w:val="center"/>
              <w:rPr>
                <w:szCs w:val="22"/>
              </w:rPr>
            </w:pPr>
            <w:r w:rsidRPr="006213BD">
              <w:rPr>
                <w:sz w:val="22"/>
                <w:szCs w:val="22"/>
              </w:rPr>
              <w:fldChar w:fldCharType="begin"/>
            </w:r>
            <w:r w:rsidR="00DF7166" w:rsidRPr="006213BD">
              <w:rPr>
                <w:sz w:val="22"/>
                <w:szCs w:val="22"/>
              </w:rPr>
              <w:instrText xml:space="preserve"> =SUM(ABOVE) </w:instrText>
            </w:r>
            <w:r w:rsidRPr="006213BD">
              <w:rPr>
                <w:sz w:val="22"/>
                <w:szCs w:val="22"/>
              </w:rPr>
              <w:fldChar w:fldCharType="separate"/>
            </w:r>
            <w:r w:rsidR="00DF7166" w:rsidRPr="006213BD">
              <w:rPr>
                <w:noProof/>
                <w:sz w:val="22"/>
                <w:szCs w:val="22"/>
              </w:rPr>
              <w:t>46 555,46</w:t>
            </w:r>
            <w:r w:rsidRPr="006213BD">
              <w:rPr>
                <w:sz w:val="22"/>
                <w:szCs w:val="22"/>
              </w:rPr>
              <w:fldChar w:fldCharType="end"/>
            </w:r>
          </w:p>
        </w:tc>
      </w:tr>
      <w:tr w:rsidR="00DF7166" w:rsidRPr="006213BD" w:rsidTr="006213BD">
        <w:trPr>
          <w:trHeight w:val="273"/>
        </w:trPr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66" w:rsidRPr="006213BD" w:rsidRDefault="00644A4B" w:rsidP="0016334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F7166" w:rsidRPr="006213BD">
              <w:rPr>
                <w:sz w:val="22"/>
                <w:szCs w:val="22"/>
              </w:rPr>
              <w:t>аксимальное значение цены контракта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66" w:rsidRPr="006213BD" w:rsidRDefault="00DF7166" w:rsidP="00163344">
            <w:pPr>
              <w:jc w:val="center"/>
              <w:rPr>
                <w:szCs w:val="22"/>
              </w:rPr>
            </w:pPr>
            <w:r w:rsidRPr="006213BD">
              <w:rPr>
                <w:sz w:val="22"/>
                <w:szCs w:val="22"/>
              </w:rPr>
              <w:t>4 500 000</w:t>
            </w:r>
          </w:p>
        </w:tc>
      </w:tr>
    </w:tbl>
    <w:p w:rsidR="005C3BD8" w:rsidRDefault="005C3BD8">
      <w:pPr>
        <w:widowControl w:val="0"/>
        <w:ind w:firstLine="567"/>
        <w:jc w:val="both"/>
        <w:rPr>
          <w:sz w:val="22"/>
        </w:rPr>
      </w:pPr>
    </w:p>
    <w:sectPr w:rsidR="005C3BD8" w:rsidSect="001A097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382"/>
    <w:multiLevelType w:val="hybridMultilevel"/>
    <w:tmpl w:val="DD3E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2B5A"/>
    <w:rsid w:val="00104D40"/>
    <w:rsid w:val="001A097D"/>
    <w:rsid w:val="001D5320"/>
    <w:rsid w:val="001F3C8A"/>
    <w:rsid w:val="0023598A"/>
    <w:rsid w:val="00292EBB"/>
    <w:rsid w:val="002D2D17"/>
    <w:rsid w:val="003755B9"/>
    <w:rsid w:val="004C1EFF"/>
    <w:rsid w:val="00552FD1"/>
    <w:rsid w:val="0057221D"/>
    <w:rsid w:val="005C3BD8"/>
    <w:rsid w:val="005D376C"/>
    <w:rsid w:val="006213BD"/>
    <w:rsid w:val="00644A4B"/>
    <w:rsid w:val="006A297F"/>
    <w:rsid w:val="006F3AB3"/>
    <w:rsid w:val="0082217F"/>
    <w:rsid w:val="00842B5A"/>
    <w:rsid w:val="008F1243"/>
    <w:rsid w:val="009A1643"/>
    <w:rsid w:val="009D2891"/>
    <w:rsid w:val="00A064FA"/>
    <w:rsid w:val="00A36B7C"/>
    <w:rsid w:val="00A37978"/>
    <w:rsid w:val="00C33AB8"/>
    <w:rsid w:val="00DA0CD7"/>
    <w:rsid w:val="00DF7166"/>
    <w:rsid w:val="00E86371"/>
    <w:rsid w:val="00EC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097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A097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097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097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097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097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097D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A09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09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09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09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097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09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097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097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A097D"/>
    <w:rPr>
      <w:rFonts w:ascii="XO Thames" w:hAnsi="XO Thames"/>
      <w:b/>
      <w:sz w:val="26"/>
    </w:rPr>
  </w:style>
  <w:style w:type="paragraph" w:customStyle="1" w:styleId="12">
    <w:name w:val="Строгий1"/>
    <w:link w:val="a3"/>
    <w:rsid w:val="001A097D"/>
    <w:rPr>
      <w:b/>
    </w:rPr>
  </w:style>
  <w:style w:type="character" w:styleId="a3">
    <w:name w:val="Strong"/>
    <w:link w:val="12"/>
    <w:uiPriority w:val="99"/>
    <w:qFormat/>
    <w:rsid w:val="001A097D"/>
    <w:rPr>
      <w:b/>
    </w:rPr>
  </w:style>
  <w:style w:type="paragraph" w:styleId="31">
    <w:name w:val="toc 3"/>
    <w:next w:val="a"/>
    <w:link w:val="32"/>
    <w:uiPriority w:val="39"/>
    <w:rsid w:val="001A09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09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A097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097D"/>
    <w:rPr>
      <w:rFonts w:ascii="XO Thames" w:hAnsi="XO Thames"/>
      <w:b/>
      <w:sz w:val="32"/>
    </w:rPr>
  </w:style>
  <w:style w:type="paragraph" w:customStyle="1" w:styleId="13">
    <w:name w:val="Гиперссылка1"/>
    <w:link w:val="a4"/>
    <w:rsid w:val="001A097D"/>
    <w:rPr>
      <w:color w:val="0000FF"/>
      <w:u w:val="single"/>
    </w:rPr>
  </w:style>
  <w:style w:type="character" w:styleId="a4">
    <w:name w:val="Hyperlink"/>
    <w:link w:val="13"/>
    <w:rsid w:val="001A097D"/>
    <w:rPr>
      <w:color w:val="0000FF"/>
      <w:u w:val="single"/>
    </w:rPr>
  </w:style>
  <w:style w:type="paragraph" w:customStyle="1" w:styleId="Footnote">
    <w:name w:val="Footnote"/>
    <w:link w:val="Footnote0"/>
    <w:rsid w:val="001A097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097D"/>
    <w:rPr>
      <w:rFonts w:ascii="XO Thames" w:hAnsi="XO Thames"/>
      <w:sz w:val="22"/>
    </w:rPr>
  </w:style>
  <w:style w:type="paragraph" w:customStyle="1" w:styleId="14">
    <w:name w:val="Основной шрифт абзаца1"/>
    <w:rsid w:val="001A097D"/>
  </w:style>
  <w:style w:type="paragraph" w:styleId="15">
    <w:name w:val="toc 1"/>
    <w:next w:val="a"/>
    <w:link w:val="16"/>
    <w:uiPriority w:val="39"/>
    <w:rsid w:val="001A097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A09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097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097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097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09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097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097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09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097D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1A097D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1A097D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1A097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1A09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09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097D"/>
    <w:rPr>
      <w:rFonts w:ascii="XO Thames" w:hAnsi="XO Thames"/>
      <w:b/>
      <w:sz w:val="28"/>
    </w:rPr>
  </w:style>
  <w:style w:type="paragraph" w:styleId="a9">
    <w:name w:val="List Paragraph"/>
    <w:basedOn w:val="a"/>
    <w:link w:val="aa"/>
    <w:uiPriority w:val="34"/>
    <w:qFormat/>
    <w:rsid w:val="0082217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2217F"/>
    <w:rPr>
      <w:szCs w:val="24"/>
    </w:rPr>
  </w:style>
  <w:style w:type="character" w:customStyle="1" w:styleId="aa">
    <w:name w:val="Абзац списка Знак"/>
    <w:link w:val="a9"/>
    <w:uiPriority w:val="34"/>
    <w:qFormat/>
    <w:locked/>
    <w:rsid w:val="00DF716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sherstneva</cp:lastModifiedBy>
  <cp:revision>5</cp:revision>
  <dcterms:created xsi:type="dcterms:W3CDTF">2026-02-09T08:12:00Z</dcterms:created>
  <dcterms:modified xsi:type="dcterms:W3CDTF">2026-02-10T04:49:00Z</dcterms:modified>
</cp:coreProperties>
</file>