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5EFA6" w14:textId="47770972"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3445A179" w14:textId="09F0522C" w:rsidR="009967A3" w:rsidRDefault="001E0EA0" w:rsidP="007455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Идентификационный код закупки –</w:t>
      </w:r>
      <w:r w:rsidR="008D08B3">
        <w:rPr>
          <w:rFonts w:ascii="Times New Roman" w:hAnsi="Times New Roman"/>
          <w:sz w:val="24"/>
          <w:szCs w:val="24"/>
        </w:rPr>
        <w:t xml:space="preserve"> </w:t>
      </w:r>
      <w:r w:rsidR="008D08B3" w:rsidRPr="008D08B3">
        <w:rPr>
          <w:rFonts w:ascii="Times New Roman" w:hAnsi="Times New Roman"/>
          <w:sz w:val="24"/>
          <w:szCs w:val="24"/>
        </w:rPr>
        <w:t>263220901107922090100100800012229244</w:t>
      </w:r>
    </w:p>
    <w:p w14:paraId="3DDB0678" w14:textId="77777777" w:rsidR="00745585" w:rsidRDefault="00745585" w:rsidP="00745585">
      <w:pPr>
        <w:autoSpaceDE w:val="0"/>
        <w:autoSpaceDN w:val="0"/>
        <w:adjustRightInd w:val="0"/>
        <w:spacing w:after="0" w:line="240" w:lineRule="auto"/>
        <w:jc w:val="center"/>
        <w:rPr>
          <w:rFonts w:ascii="Times New Roman" w:hAnsi="Times New Roman"/>
          <w:sz w:val="24"/>
          <w:szCs w:val="24"/>
        </w:rPr>
      </w:pPr>
    </w:p>
    <w:p w14:paraId="1B436E9E" w14:textId="19D0C734"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г. Рубцовск                                                                                           </w:t>
      </w:r>
      <w:proofErr w:type="gramStart"/>
      <w:r>
        <w:rPr>
          <w:rFonts w:ascii="Times New Roman" w:hAnsi="Times New Roman"/>
          <w:sz w:val="24"/>
          <w:szCs w:val="24"/>
        </w:rPr>
        <w:t xml:space="preserve">   «</w:t>
      </w:r>
      <w:proofErr w:type="gramEnd"/>
      <w:r>
        <w:rPr>
          <w:rFonts w:ascii="Times New Roman" w:hAnsi="Times New Roman"/>
          <w:sz w:val="24"/>
          <w:szCs w:val="24"/>
        </w:rPr>
        <w:t>_____»________202</w:t>
      </w:r>
      <w:r w:rsidR="00745585">
        <w:rPr>
          <w:rFonts w:ascii="Times New Roman" w:hAnsi="Times New Roman"/>
          <w:sz w:val="24"/>
          <w:szCs w:val="24"/>
        </w:rPr>
        <w:t>6</w:t>
      </w:r>
      <w:r>
        <w:rPr>
          <w:rFonts w:ascii="Times New Roman" w:hAnsi="Times New Roman"/>
          <w:sz w:val="24"/>
          <w:szCs w:val="24"/>
        </w:rPr>
        <w:t xml:space="preserve">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77777777"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канцелярские принадлежности для нужд Администрации города Рубцовска,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745585">
          <w:rPr>
            <w:rStyle w:val="a3"/>
            <w:rFonts w:ascii="Times New Roman" w:eastAsiaTheme="majorEastAsia" w:hAnsi="Times New Roman"/>
            <w:color w:val="auto"/>
            <w:sz w:val="24"/>
            <w:szCs w:val="24"/>
            <w:u w:val="none"/>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2079C53A" w14:textId="64659154" w:rsidR="009967A3" w:rsidRPr="009967A3" w:rsidRDefault="009967A3" w:rsidP="009967A3">
      <w:pPr>
        <w:widowControl w:val="0"/>
        <w:autoSpaceDE w:val="0"/>
        <w:autoSpaceDN w:val="0"/>
        <w:adjustRightInd w:val="0"/>
        <w:spacing w:after="0" w:line="240" w:lineRule="auto"/>
        <w:ind w:firstLine="709"/>
        <w:jc w:val="both"/>
        <w:rPr>
          <w:rFonts w:ascii="Times New Roman" w:hAnsi="Times New Roman"/>
          <w:sz w:val="24"/>
          <w:szCs w:val="24"/>
        </w:rPr>
      </w:pPr>
      <w:r w:rsidRPr="009967A3">
        <w:rPr>
          <w:rFonts w:ascii="Times New Roman" w:hAnsi="Times New Roman"/>
          <w:sz w:val="24"/>
          <w:szCs w:val="24"/>
        </w:rPr>
        <w:t>КБК: 303 0104 01200 10110 244</w:t>
      </w:r>
      <w:r w:rsidR="00745585">
        <w:rPr>
          <w:rFonts w:ascii="Times New Roman" w:hAnsi="Times New Roman"/>
          <w:sz w:val="24"/>
          <w:szCs w:val="24"/>
        </w:rPr>
        <w:t>.</w:t>
      </w:r>
    </w:p>
    <w:p w14:paraId="20EC169E" w14:textId="0CD56F81" w:rsidR="001E0EA0" w:rsidRPr="001E0EA0" w:rsidRDefault="001E0EA0" w:rsidP="009967A3">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1E0EA0">
        <w:rPr>
          <w:rFonts w:ascii="Times New Roman" w:hAnsi="Times New Roman"/>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CE86CFB" w14:textId="01B35D55"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4BA79B5C" w:rsidR="001E0EA0" w:rsidRPr="00224EB9" w:rsidRDefault="001E0EA0" w:rsidP="00224EB9">
      <w:pPr>
        <w:pStyle w:val="a7"/>
        <w:tabs>
          <w:tab w:val="left" w:pos="1134"/>
          <w:tab w:val="left" w:pos="1276"/>
        </w:tabs>
        <w:ind w:firstLine="709"/>
      </w:pPr>
      <w:r w:rsidRPr="00224EB9">
        <w:t xml:space="preserve">Поставка должна быть осуществлена </w:t>
      </w:r>
      <w:r w:rsidR="008F27D8">
        <w:t xml:space="preserve">одной партией </w:t>
      </w:r>
      <w:r w:rsidRPr="00224EB9">
        <w:t>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5AA3D9B3"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r w:rsidR="00745585" w:rsidRPr="00745585">
        <w:rPr>
          <w:rFonts w:ascii="Times New Roman" w:hAnsi="Times New Roman"/>
          <w:sz w:val="24"/>
          <w:szCs w:val="24"/>
        </w:rPr>
        <w:t xml:space="preserve">kiselyova_ln@rubtsovsk.org </w:t>
      </w:r>
      <w:r w:rsidRPr="001E0EA0">
        <w:rPr>
          <w:rFonts w:ascii="Times New Roman" w:hAnsi="Times New Roman"/>
          <w:sz w:val="24"/>
          <w:szCs w:val="24"/>
        </w:rPr>
        <w:t>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4D7AB8A8"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w:t>
      </w:r>
      <w:bookmarkStart w:id="0" w:name="_Hlk222150151"/>
      <w:r w:rsidR="00745585">
        <w:rPr>
          <w:rFonts w:ascii="Times New Roman" w:hAnsi="Times New Roman"/>
          <w:sz w:val="24"/>
          <w:szCs w:val="24"/>
        </w:rPr>
        <w:t xml:space="preserve">квалифицированной </w:t>
      </w:r>
      <w:bookmarkEnd w:id="0"/>
      <w:r w:rsidRPr="001E0EA0">
        <w:rPr>
          <w:rFonts w:ascii="Times New Roman" w:hAnsi="Times New Roman"/>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5C18BDD" w14:textId="77777777" w:rsidR="001E0EA0" w:rsidRPr="001E0EA0" w:rsidRDefault="001E0EA0" w:rsidP="001E0EA0">
      <w:pPr>
        <w:pStyle w:val="a7"/>
        <w:ind w:firstLine="709"/>
      </w:pPr>
      <w:r w:rsidRPr="001E0EA0">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w:t>
      </w:r>
      <w:r w:rsidRPr="001E0EA0">
        <w:lastRenderedPageBreak/>
        <w:t>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080DE30E"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w:t>
      </w:r>
      <w:r w:rsidR="0070671B">
        <w:rPr>
          <w:rFonts w:ascii="Times New Roman" w:hAnsi="Times New Roman" w:cs="Times New Roman"/>
        </w:rPr>
        <w:t xml:space="preserve">              </w:t>
      </w:r>
      <w:proofErr w:type="gramStart"/>
      <w:r w:rsidR="0070671B">
        <w:rPr>
          <w:rFonts w:ascii="Times New Roman" w:hAnsi="Times New Roman" w:cs="Times New Roman"/>
        </w:rPr>
        <w:t xml:space="preserve">  </w:t>
      </w:r>
      <w:r w:rsidRPr="001E0EA0">
        <w:rPr>
          <w:rFonts w:ascii="Times New Roman" w:hAnsi="Times New Roman" w:cs="Times New Roman"/>
        </w:rPr>
        <w:t xml:space="preserve"> (</w:t>
      </w:r>
      <w:proofErr w:type="gramEnd"/>
      <w:r w:rsidRPr="001E0EA0">
        <w:rPr>
          <w:rFonts w:ascii="Times New Roman" w:hAnsi="Times New Roman" w:cs="Times New Roman"/>
        </w:rPr>
        <w:t>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13968FE2"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w:t>
      </w:r>
      <w:r w:rsidR="00745585" w:rsidRPr="00745585">
        <w:t xml:space="preserve"> </w:t>
      </w:r>
      <w:r w:rsidR="00745585" w:rsidRPr="00745585">
        <w:rPr>
          <w:rFonts w:ascii="Times New Roman" w:hAnsi="Times New Roman"/>
          <w:sz w:val="24"/>
          <w:szCs w:val="24"/>
        </w:rPr>
        <w:t>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3CD08A5E"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б) формирует с использованием единой информационной системы, подписывает усиленной </w:t>
      </w:r>
      <w:r w:rsidR="00745585" w:rsidRPr="00745585">
        <w:rPr>
          <w:rFonts w:ascii="Times New Roman" w:hAnsi="Times New Roman"/>
          <w:sz w:val="24"/>
          <w:szCs w:val="24"/>
        </w:rPr>
        <w:t xml:space="preserve">квалифицированной </w:t>
      </w:r>
      <w:r w:rsidRPr="001E0EA0">
        <w:rPr>
          <w:rFonts w:ascii="Times New Roman" w:hAnsi="Times New Roman"/>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580F3F2A"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а) члены приемочной комиссии подписывают усиленными </w:t>
      </w:r>
      <w:r w:rsidR="00745585" w:rsidRPr="00745585">
        <w:rPr>
          <w:rFonts w:ascii="Times New Roman" w:hAnsi="Times New Roman"/>
          <w:sz w:val="24"/>
          <w:szCs w:val="24"/>
        </w:rPr>
        <w:t>квалифицированн</w:t>
      </w:r>
      <w:r w:rsidR="00745585">
        <w:rPr>
          <w:rFonts w:ascii="Times New Roman" w:hAnsi="Times New Roman"/>
          <w:sz w:val="24"/>
          <w:szCs w:val="24"/>
        </w:rPr>
        <w:t>ыми</w:t>
      </w:r>
      <w:r w:rsidR="00745585" w:rsidRPr="00745585">
        <w:rPr>
          <w:rFonts w:ascii="Times New Roman" w:hAnsi="Times New Roman"/>
          <w:sz w:val="24"/>
          <w:szCs w:val="24"/>
        </w:rPr>
        <w:t xml:space="preserve"> </w:t>
      </w:r>
      <w:r w:rsidRPr="001E0EA0">
        <w:rPr>
          <w:rFonts w:ascii="Times New Roman" w:hAnsi="Times New Roman"/>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45585" w:rsidRPr="00745585">
        <w:rPr>
          <w:rFonts w:ascii="Times New Roman" w:hAnsi="Times New Roman"/>
          <w:sz w:val="24"/>
          <w:szCs w:val="24"/>
        </w:rPr>
        <w:t>квалифицированн</w:t>
      </w:r>
      <w:r w:rsidR="00745585">
        <w:rPr>
          <w:rFonts w:ascii="Times New Roman" w:hAnsi="Times New Roman"/>
          <w:sz w:val="24"/>
          <w:szCs w:val="24"/>
        </w:rPr>
        <w:t>ыми</w:t>
      </w:r>
      <w:r w:rsidR="00745585" w:rsidRPr="00745585">
        <w:rPr>
          <w:rFonts w:ascii="Times New Roman" w:hAnsi="Times New Roman"/>
          <w:sz w:val="24"/>
          <w:szCs w:val="24"/>
        </w:rPr>
        <w:t xml:space="preserve"> </w:t>
      </w:r>
      <w:r w:rsidRPr="001E0EA0">
        <w:rPr>
          <w:rFonts w:ascii="Times New Roman" w:hAnsi="Times New Roman"/>
          <w:sz w:val="24"/>
          <w:szCs w:val="24"/>
        </w:rPr>
        <w:t>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45585" w:rsidRPr="00745585">
        <w:rPr>
          <w:rFonts w:ascii="Times New Roman" w:hAnsi="Times New Roman"/>
          <w:sz w:val="24"/>
          <w:szCs w:val="24"/>
        </w:rPr>
        <w:t>квалифицированн</w:t>
      </w:r>
      <w:r w:rsidR="00745585">
        <w:rPr>
          <w:rFonts w:ascii="Times New Roman" w:hAnsi="Times New Roman"/>
          <w:sz w:val="24"/>
          <w:szCs w:val="24"/>
        </w:rPr>
        <w:t>ых</w:t>
      </w:r>
      <w:r w:rsidR="00745585" w:rsidRPr="00745585">
        <w:rPr>
          <w:rFonts w:ascii="Times New Roman" w:hAnsi="Times New Roman"/>
          <w:sz w:val="24"/>
          <w:szCs w:val="24"/>
        </w:rPr>
        <w:t xml:space="preserve"> </w:t>
      </w:r>
      <w:r w:rsidRPr="001E0EA0">
        <w:rPr>
          <w:rFonts w:ascii="Times New Roman" w:hAnsi="Times New Roman"/>
          <w:sz w:val="24"/>
          <w:szCs w:val="24"/>
        </w:rPr>
        <w:t>электронных подписей и единой информационной системы.</w:t>
      </w:r>
    </w:p>
    <w:p w14:paraId="4A35DD40" w14:textId="12D7563B"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745585" w:rsidRPr="00745585">
        <w:rPr>
          <w:rFonts w:ascii="Times New Roman" w:hAnsi="Times New Roman"/>
          <w:sz w:val="24"/>
          <w:szCs w:val="24"/>
        </w:rPr>
        <w:t xml:space="preserve">квалифицированной </w:t>
      </w:r>
      <w:r w:rsidRPr="001E0EA0">
        <w:rPr>
          <w:rFonts w:ascii="Times New Roman" w:hAnsi="Times New Roman"/>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745585" w:rsidRPr="00745585">
        <w:rPr>
          <w:rFonts w:ascii="Times New Roman" w:hAnsi="Times New Roman"/>
          <w:sz w:val="24"/>
          <w:szCs w:val="24"/>
        </w:rPr>
        <w:t>квалифицированн</w:t>
      </w:r>
      <w:r w:rsidR="00745585">
        <w:rPr>
          <w:rFonts w:ascii="Times New Roman" w:hAnsi="Times New Roman"/>
          <w:sz w:val="24"/>
          <w:szCs w:val="24"/>
        </w:rPr>
        <w:t>ые</w:t>
      </w:r>
      <w:r w:rsidR="00745585" w:rsidRPr="00745585">
        <w:rPr>
          <w:rFonts w:ascii="Times New Roman" w:hAnsi="Times New Roman"/>
          <w:sz w:val="24"/>
          <w:szCs w:val="24"/>
        </w:rPr>
        <w:t xml:space="preserve"> </w:t>
      </w:r>
      <w:r w:rsidRPr="001E0EA0">
        <w:rPr>
          <w:rFonts w:ascii="Times New Roman" w:hAnsi="Times New Roman"/>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7" w:anchor="Par123" w:history="1">
        <w:r w:rsidRPr="00745585">
          <w:rPr>
            <w:rStyle w:val="a3"/>
            <w:rFonts w:ascii="Times New Roman" w:eastAsiaTheme="majorEastAsia" w:hAnsi="Times New Roman"/>
            <w:color w:val="auto"/>
            <w:sz w:val="24"/>
            <w:szCs w:val="24"/>
            <w:u w:val="none"/>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745585"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8" w:anchor="Par123" w:history="1">
        <w:r w:rsidRPr="00745585">
          <w:rPr>
            <w:rStyle w:val="a3"/>
            <w:rFonts w:ascii="Times New Roman" w:eastAsiaTheme="majorEastAsia" w:hAnsi="Times New Roman"/>
            <w:color w:val="auto"/>
            <w:sz w:val="24"/>
            <w:szCs w:val="24"/>
            <w:u w:val="none"/>
          </w:rPr>
          <w:t>разделом VI</w:t>
        </w:r>
      </w:hyperlink>
      <w:r w:rsidRPr="00745585">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745585">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745585">
          <w:rPr>
            <w:rStyle w:val="a3"/>
            <w:rFonts w:ascii="Times New Roman" w:eastAsiaTheme="majorEastAsia" w:hAnsi="Times New Roman"/>
            <w:color w:val="auto"/>
            <w:sz w:val="24"/>
            <w:szCs w:val="24"/>
            <w:u w:val="none"/>
          </w:rPr>
          <w:t>законом</w:t>
        </w:r>
      </w:hyperlink>
      <w:r w:rsidRPr="00745585">
        <w:rPr>
          <w:rFonts w:ascii="Times New Roman" w:hAnsi="Times New Roman"/>
          <w:sz w:val="24"/>
          <w:szCs w:val="24"/>
        </w:rPr>
        <w:t xml:space="preserve"> от 5 апреля 2013 г. № 44-ФЗ</w:t>
      </w:r>
      <w:r w:rsidRPr="001E0EA0">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0"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1A1B0F35" w14:textId="104A0293" w:rsidR="008D08B3" w:rsidRDefault="008D08B3" w:rsidP="0070671B">
      <w:pPr>
        <w:autoSpaceDE w:val="0"/>
        <w:autoSpaceDN w:val="0"/>
        <w:adjustRightInd w:val="0"/>
        <w:spacing w:after="0" w:line="240" w:lineRule="auto"/>
        <w:ind w:firstLine="709"/>
        <w:jc w:val="both"/>
        <w:rPr>
          <w:rFonts w:ascii="Times New Roman" w:hAnsi="Times New Roman"/>
          <w:sz w:val="24"/>
          <w:szCs w:val="24"/>
        </w:rPr>
      </w:pPr>
      <w:r w:rsidRPr="008D08B3">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46EB9447" w14:textId="01E71B9D" w:rsidR="0070671B" w:rsidRPr="0070671B" w:rsidRDefault="008A2EBC" w:rsidP="0070671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6.5. </w:t>
      </w:r>
      <w:r w:rsidR="0070671B" w:rsidRPr="0070671B">
        <w:rPr>
          <w:rFonts w:ascii="Times New Roman" w:hAnsi="Times New Roman"/>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r w:rsidR="0070671B" w:rsidRPr="0070671B">
        <w:rPr>
          <w:rFonts w:ascii="Times New Roman" w:hAnsi="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A44C32"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а) в случае, если цена Контракта не превышает начальную (максимальную) цену Контракта:</w:t>
      </w:r>
    </w:p>
    <w:p w14:paraId="780C0349"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7FE701A6"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C37408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EB270CD"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б) в случае, если цена Контракта превышает начальную (максимальную) цену Контракта:</w:t>
      </w:r>
    </w:p>
    <w:p w14:paraId="2E9E3D7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цены Контракта, если цена Контракта не превышает 3 млн. рублей;</w:t>
      </w:r>
    </w:p>
    <w:p w14:paraId="07A7F125"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1D2161F1" w14:textId="50DACACB" w:rsid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7A73D054" w14:textId="1300B4B6" w:rsidR="001E0EA0" w:rsidRPr="001E0EA0" w:rsidRDefault="001E0EA0" w:rsidP="009967A3">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745585">
          <w:rPr>
            <w:rStyle w:val="a3"/>
            <w:rFonts w:ascii="Times New Roman" w:eastAsiaTheme="majorEastAsia" w:hAnsi="Times New Roman"/>
            <w:color w:val="auto"/>
            <w:sz w:val="24"/>
            <w:szCs w:val="24"/>
            <w:u w:val="none"/>
          </w:rPr>
          <w:t>пунктом 7.7</w:t>
        </w:r>
      </w:hyperlink>
      <w:r w:rsidRPr="00745585">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3" w:anchor="Par127" w:history="1">
        <w:r w:rsidRPr="00745585">
          <w:rPr>
            <w:rStyle w:val="a3"/>
            <w:rFonts w:ascii="Times New Roman" w:eastAsiaTheme="majorEastAsia" w:hAnsi="Times New Roman"/>
            <w:color w:val="auto"/>
            <w:sz w:val="24"/>
            <w:szCs w:val="24"/>
            <w:u w:val="none"/>
          </w:rPr>
          <w:t>пунктом 6.3</w:t>
        </w:r>
      </w:hyperlink>
      <w:r w:rsidRPr="00745585">
        <w:rPr>
          <w:rFonts w:ascii="Times New Roman" w:hAnsi="Times New Roman"/>
          <w:sz w:val="24"/>
          <w:szCs w:val="24"/>
        </w:rPr>
        <w:t xml:space="preserve"> Ко</w:t>
      </w:r>
      <w:r w:rsidRPr="001E0EA0">
        <w:rPr>
          <w:rFonts w:ascii="Times New Roman" w:hAnsi="Times New Roman"/>
          <w:sz w:val="24"/>
          <w:szCs w:val="24"/>
        </w:rPr>
        <w:t>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4CCDD701" w:rsid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BE1297" w14:textId="77777777" w:rsidR="008A2EBC" w:rsidRPr="001E0EA0" w:rsidRDefault="008A2EBC" w:rsidP="001E0EA0">
      <w:pPr>
        <w:autoSpaceDE w:val="0"/>
        <w:autoSpaceDN w:val="0"/>
        <w:adjustRightInd w:val="0"/>
        <w:spacing w:after="0" w:line="240" w:lineRule="auto"/>
        <w:ind w:firstLine="709"/>
        <w:jc w:val="both"/>
        <w:rPr>
          <w:rFonts w:ascii="Times New Roman" w:hAnsi="Times New Roman"/>
          <w:sz w:val="24"/>
          <w:szCs w:val="24"/>
        </w:rPr>
      </w:pPr>
    </w:p>
    <w:p w14:paraId="08478FC4"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9D7631">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w:t>
      </w:r>
      <w:r w:rsidRPr="001E0EA0">
        <w:rPr>
          <w:rFonts w:ascii="Times New Roman" w:hAnsi="Times New Roman"/>
          <w:sz w:val="24"/>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9D7631">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0207895" w14:textId="724C1A6D" w:rsidR="001E0EA0" w:rsidRP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 xml:space="preserve">Банк: </w:t>
      </w:r>
      <w:r w:rsidR="00745585">
        <w:rPr>
          <w:rFonts w:ascii="Times New Roman" w:hAnsi="Times New Roman"/>
          <w:sz w:val="24"/>
          <w:szCs w:val="24"/>
        </w:rPr>
        <w:t xml:space="preserve">ОКЦ № 2 </w:t>
      </w:r>
      <w:proofErr w:type="spellStart"/>
      <w:r w:rsidR="00745585">
        <w:rPr>
          <w:rFonts w:ascii="Times New Roman" w:hAnsi="Times New Roman"/>
          <w:sz w:val="24"/>
          <w:szCs w:val="24"/>
        </w:rPr>
        <w:t>СибГУ</w:t>
      </w:r>
      <w:proofErr w:type="spellEnd"/>
      <w:r w:rsidRPr="001E0EA0">
        <w:rPr>
          <w:rFonts w:ascii="Times New Roman" w:hAnsi="Times New Roman"/>
          <w:sz w:val="24"/>
          <w:szCs w:val="24"/>
        </w:rPr>
        <w:t xml:space="preserve"> БАНКА РОССИИ//УФК по Алтайскому краю г. Барнаул</w:t>
      </w:r>
    </w:p>
    <w:p w14:paraId="18BE9EB5" w14:textId="77777777" w:rsidR="001E0EA0" w:rsidRP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6C9ECF37" w:rsidR="001E0EA0" w:rsidRDefault="001E0EA0" w:rsidP="009D7631">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16DC8C2B" w14:textId="77777777" w:rsidR="00745585" w:rsidRPr="00745585" w:rsidRDefault="00745585" w:rsidP="009D7631">
      <w:pPr>
        <w:spacing w:after="0" w:line="240" w:lineRule="auto"/>
        <w:ind w:firstLine="709"/>
        <w:jc w:val="both"/>
        <w:rPr>
          <w:rFonts w:ascii="Times New Roman" w:hAnsi="Times New Roman"/>
          <w:i/>
          <w:sz w:val="24"/>
          <w:szCs w:val="24"/>
        </w:rPr>
      </w:pPr>
      <w:r w:rsidRPr="00745585">
        <w:rPr>
          <w:rFonts w:ascii="Times New Roman" w:hAnsi="Times New Roman"/>
          <w:i/>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F81E0CF" w14:textId="357868A8" w:rsidR="001E0EA0" w:rsidRDefault="001E0EA0" w:rsidP="009D7631">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w:t>
      </w:r>
      <w:r w:rsidR="00AC6726" w:rsidRPr="00AC6726">
        <w:rPr>
          <w:rFonts w:ascii="Times New Roman" w:hAnsi="Times New Roman"/>
          <w:sz w:val="24"/>
          <w:szCs w:val="24"/>
        </w:rPr>
        <w:t>составляет ____ (___________) рублей ____ копеек (5 % цены Контракта).</w:t>
      </w:r>
      <w:r w:rsidRPr="001E0EA0">
        <w:rPr>
          <w:rFonts w:ascii="Times New Roman" w:hAnsi="Times New Roman"/>
          <w:sz w:val="24"/>
          <w:szCs w:val="24"/>
        </w:rPr>
        <w:t xml:space="preserve"> </w:t>
      </w:r>
    </w:p>
    <w:p w14:paraId="6753B34B" w14:textId="44258AC3" w:rsidR="00AC6726" w:rsidRPr="001E0EA0" w:rsidRDefault="00AC6726" w:rsidP="00AC6726">
      <w:pPr>
        <w:autoSpaceDE w:val="0"/>
        <w:autoSpaceDN w:val="0"/>
        <w:adjustRightInd w:val="0"/>
        <w:spacing w:after="0" w:line="240" w:lineRule="auto"/>
        <w:ind w:firstLine="709"/>
        <w:contextualSpacing/>
        <w:jc w:val="both"/>
        <w:rPr>
          <w:rFonts w:ascii="Times New Roman" w:hAnsi="Times New Roman"/>
          <w:sz w:val="24"/>
          <w:szCs w:val="24"/>
        </w:rPr>
      </w:pPr>
      <w:r w:rsidRPr="00AC6726">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AC8CAE" w14:textId="77777777" w:rsidR="001E0EA0" w:rsidRPr="001E0EA0" w:rsidRDefault="001E0EA0" w:rsidP="00AC6726">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Pr="001E0EA0">
        <w:rPr>
          <w:rFonts w:ascii="Times New Roman" w:hAnsi="Times New Roman" w:cs="Times New Roman"/>
          <w:sz w:val="24"/>
          <w:szCs w:val="24"/>
        </w:rPr>
        <w:lastRenderedPageBreak/>
        <w:t xml:space="preserve">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0"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0"/>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lastRenderedPageBreak/>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E6AC08A"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lastRenderedPageBreak/>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547DC0">
      <w:pPr>
        <w:numPr>
          <w:ilvl w:val="0"/>
          <w:numId w:val="1"/>
        </w:numPr>
        <w:autoSpaceDE w:val="0"/>
        <w:autoSpaceDN w:val="0"/>
        <w:adjustRightInd w:val="0"/>
        <w:spacing w:after="0" w:line="240" w:lineRule="auto"/>
        <w:ind w:left="0" w:firstLine="0"/>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41AC449F"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30 декабря 202</w:t>
      </w:r>
      <w:r w:rsidR="00745585">
        <w:t>6</w:t>
      </w:r>
      <w:r w:rsidR="000C57DA" w:rsidRPr="000C57DA">
        <w:t xml:space="preserve">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08D16C3F"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563D9D43" w:rsidR="001E0EA0" w:rsidRPr="001E0EA0" w:rsidRDefault="001E0EA0" w:rsidP="001E0EA0">
      <w:pPr>
        <w:pStyle w:val="a7"/>
        <w:numPr>
          <w:ilvl w:val="1"/>
          <w:numId w:val="5"/>
        </w:numPr>
        <w:tabs>
          <w:tab w:val="left" w:pos="1418"/>
        </w:tabs>
        <w:ind w:left="0" w:firstLine="709"/>
        <w:contextualSpacing/>
      </w:pPr>
      <w:r w:rsidRPr="001E0EA0">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lastRenderedPageBreak/>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4A12B607" w14:textId="77777777" w:rsidR="002F4033" w:rsidRPr="002F4033" w:rsidRDefault="002F4033" w:rsidP="002F4033">
      <w:pPr>
        <w:keepNext/>
        <w:tabs>
          <w:tab w:val="left" w:pos="426"/>
        </w:tabs>
        <w:spacing w:after="0" w:line="240" w:lineRule="auto"/>
        <w:ind w:left="425"/>
        <w:jc w:val="center"/>
        <w:outlineLvl w:val="2"/>
        <w:rPr>
          <w:rFonts w:ascii="Times New Roman" w:hAnsi="Times New Roman"/>
          <w:bCs/>
          <w:sz w:val="24"/>
          <w:szCs w:val="24"/>
        </w:rPr>
      </w:pPr>
      <w:r w:rsidRPr="002F4033">
        <w:rPr>
          <w:rFonts w:ascii="Times New Roman" w:hAnsi="Times New Roman"/>
          <w:bCs/>
          <w:sz w:val="24"/>
          <w:szCs w:val="24"/>
          <w:lang w:val="en-US"/>
        </w:rPr>
        <w:t>XI</w:t>
      </w:r>
      <w:r w:rsidRPr="002F4033">
        <w:rPr>
          <w:rFonts w:ascii="Times New Roman" w:hAnsi="Times New Roman"/>
          <w:bCs/>
          <w:sz w:val="24"/>
          <w:szCs w:val="24"/>
        </w:rPr>
        <w:t>. Антикоррупционная оговорка</w:t>
      </w:r>
    </w:p>
    <w:p w14:paraId="4ADE15FD" w14:textId="77777777" w:rsidR="002F4033" w:rsidRPr="002F4033" w:rsidRDefault="002F4033" w:rsidP="002F4033">
      <w:pPr>
        <w:spacing w:after="0" w:line="240" w:lineRule="auto"/>
        <w:ind w:firstLine="709"/>
        <w:jc w:val="both"/>
        <w:rPr>
          <w:rFonts w:ascii="Times New Roman" w:hAnsi="Times New Roman"/>
          <w:sz w:val="24"/>
          <w:szCs w:val="24"/>
        </w:rPr>
      </w:pPr>
      <w:r w:rsidRPr="002F4033">
        <w:rPr>
          <w:rFonts w:ascii="Times New Roman" w:hAnsi="Times New Roman"/>
          <w:spacing w:val="-2"/>
          <w:sz w:val="24"/>
          <w:szCs w:val="24"/>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44FE76E2" w14:textId="77777777" w:rsidR="002F4033" w:rsidRPr="002F4033" w:rsidRDefault="002F4033" w:rsidP="002F4033">
      <w:pPr>
        <w:spacing w:after="0" w:line="240" w:lineRule="auto"/>
        <w:ind w:firstLine="709"/>
        <w:jc w:val="both"/>
        <w:rPr>
          <w:rFonts w:ascii="Times New Roman" w:hAnsi="Times New Roman"/>
          <w:sz w:val="24"/>
          <w:szCs w:val="24"/>
        </w:rPr>
      </w:pPr>
      <w:r w:rsidRPr="002F4033">
        <w:rPr>
          <w:rFonts w:ascii="Times New Roman" w:hAnsi="Times New Roman"/>
          <w:spacing w:val="-2"/>
          <w:sz w:val="24"/>
          <w:szCs w:val="24"/>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1238C1F" w14:textId="77777777" w:rsidR="002F4033" w:rsidRPr="002F4033" w:rsidRDefault="002F4033" w:rsidP="002F4033">
      <w:pPr>
        <w:spacing w:after="0" w:line="240" w:lineRule="auto"/>
        <w:ind w:firstLine="709"/>
        <w:jc w:val="both"/>
        <w:rPr>
          <w:rFonts w:ascii="Times New Roman" w:hAnsi="Times New Roman"/>
          <w:color w:val="000000"/>
          <w:sz w:val="24"/>
          <w:szCs w:val="24"/>
        </w:rPr>
      </w:pPr>
      <w:r w:rsidRPr="002F4033">
        <w:rPr>
          <w:rFonts w:ascii="Times New Roman" w:hAnsi="Times New Roman"/>
          <w:spacing w:val="-2"/>
          <w:sz w:val="24"/>
          <w:szCs w:val="24"/>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7BC38129" w14:textId="6D5E79EF" w:rsidR="002F4033" w:rsidRPr="002F4033" w:rsidRDefault="002F4033" w:rsidP="002F4033">
      <w:pPr>
        <w:spacing w:after="0" w:line="240" w:lineRule="auto"/>
        <w:ind w:firstLine="709"/>
        <w:jc w:val="both"/>
        <w:rPr>
          <w:rFonts w:ascii="Times New Roman" w:hAnsi="Times New Roman"/>
          <w:sz w:val="24"/>
          <w:szCs w:val="24"/>
        </w:rPr>
      </w:pPr>
      <w:r w:rsidRPr="002F4033">
        <w:rPr>
          <w:rFonts w:ascii="Times New Roman" w:hAnsi="Times New Roman"/>
          <w:spacing w:val="-2"/>
          <w:sz w:val="24"/>
          <w:szCs w:val="24"/>
        </w:rPr>
        <w:t xml:space="preserve">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033CCC">
        <w:rPr>
          <w:rFonts w:ascii="Times New Roman" w:hAnsi="Times New Roman"/>
          <w:spacing w:val="-2"/>
          <w:sz w:val="24"/>
          <w:szCs w:val="24"/>
        </w:rPr>
        <w:t>11.</w:t>
      </w:r>
      <w:r w:rsidRPr="002F4033">
        <w:rPr>
          <w:rFonts w:ascii="Times New Roman" w:hAnsi="Times New Roman"/>
          <w:spacing w:val="-2"/>
          <w:sz w:val="24"/>
          <w:szCs w:val="24"/>
        </w:rPr>
        <w:t xml:space="preserve">2 и </w:t>
      </w:r>
      <w:r w:rsidR="00033CCC">
        <w:rPr>
          <w:rFonts w:ascii="Times New Roman" w:hAnsi="Times New Roman"/>
          <w:spacing w:val="-2"/>
          <w:sz w:val="24"/>
          <w:szCs w:val="24"/>
        </w:rPr>
        <w:t>11.</w:t>
      </w:r>
      <w:r w:rsidRPr="002F4033">
        <w:rPr>
          <w:rFonts w:ascii="Times New Roman" w:hAnsi="Times New Roman"/>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033CCC">
        <w:rPr>
          <w:rFonts w:ascii="Times New Roman" w:hAnsi="Times New Roman"/>
          <w:spacing w:val="-2"/>
          <w:sz w:val="24"/>
          <w:szCs w:val="24"/>
        </w:rPr>
        <w:t>11.</w:t>
      </w:r>
      <w:r w:rsidRPr="002F4033">
        <w:rPr>
          <w:rFonts w:ascii="Times New Roman" w:hAnsi="Times New Roman"/>
          <w:spacing w:val="-2"/>
          <w:sz w:val="24"/>
          <w:szCs w:val="24"/>
        </w:rPr>
        <w:t xml:space="preserve">2 и </w:t>
      </w:r>
      <w:r w:rsidR="00033CCC">
        <w:rPr>
          <w:rFonts w:ascii="Times New Roman" w:hAnsi="Times New Roman"/>
          <w:spacing w:val="-2"/>
          <w:sz w:val="24"/>
          <w:szCs w:val="24"/>
        </w:rPr>
        <w:t>11.</w:t>
      </w:r>
      <w:r w:rsidRPr="002F4033">
        <w:rPr>
          <w:rFonts w:ascii="Times New Roman" w:hAnsi="Times New Roman"/>
          <w:spacing w:val="-2"/>
          <w:sz w:val="24"/>
          <w:szCs w:val="24"/>
        </w:rPr>
        <w:t>3.</w:t>
      </w:r>
    </w:p>
    <w:p w14:paraId="163F047F" w14:textId="305A11A3" w:rsidR="002F4033" w:rsidRPr="002F4033" w:rsidRDefault="002F4033" w:rsidP="002F4033">
      <w:pPr>
        <w:spacing w:after="0" w:line="240" w:lineRule="auto"/>
        <w:ind w:firstLine="709"/>
        <w:jc w:val="both"/>
        <w:rPr>
          <w:rFonts w:ascii="Times New Roman" w:hAnsi="Times New Roman"/>
          <w:sz w:val="24"/>
          <w:szCs w:val="24"/>
        </w:rPr>
      </w:pPr>
      <w:r w:rsidRPr="002F4033">
        <w:rPr>
          <w:rFonts w:ascii="Times New Roman" w:hAnsi="Times New Roman"/>
          <w:spacing w:val="-2"/>
          <w:sz w:val="24"/>
          <w:szCs w:val="24"/>
        </w:rPr>
        <w:t xml:space="preserve">11.5. Сторона, получившая уведомление, указанное в пункте </w:t>
      </w:r>
      <w:r w:rsidR="00033CCC">
        <w:rPr>
          <w:rFonts w:ascii="Times New Roman" w:hAnsi="Times New Roman"/>
          <w:spacing w:val="-2"/>
          <w:sz w:val="24"/>
          <w:szCs w:val="24"/>
        </w:rPr>
        <w:t>11.</w:t>
      </w:r>
      <w:r w:rsidRPr="002F4033">
        <w:rPr>
          <w:rFonts w:ascii="Times New Roman" w:hAnsi="Times New Roman"/>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0A9C46B2" w14:textId="785D4BB4" w:rsidR="002F4033" w:rsidRPr="002F4033" w:rsidRDefault="002F4033" w:rsidP="002F4033">
      <w:pPr>
        <w:spacing w:after="0" w:line="240" w:lineRule="auto"/>
        <w:ind w:firstLine="709"/>
        <w:jc w:val="both"/>
        <w:rPr>
          <w:rFonts w:ascii="Times New Roman" w:hAnsi="Times New Roman"/>
          <w:sz w:val="24"/>
          <w:szCs w:val="24"/>
        </w:rPr>
      </w:pPr>
      <w:r w:rsidRPr="002F4033">
        <w:rPr>
          <w:rFonts w:ascii="Times New Roman" w:hAnsi="Times New Roman"/>
          <w:spacing w:val="-2"/>
          <w:sz w:val="24"/>
          <w:szCs w:val="24"/>
        </w:rPr>
        <w:t xml:space="preserve">11.6. Стороны гарантируют осуществление надлежащего разбирательства по фактам нарушения положений пунктов </w:t>
      </w:r>
      <w:r w:rsidR="00033CCC">
        <w:rPr>
          <w:rFonts w:ascii="Times New Roman" w:hAnsi="Times New Roman"/>
          <w:spacing w:val="-2"/>
          <w:sz w:val="24"/>
          <w:szCs w:val="24"/>
        </w:rPr>
        <w:t>11.</w:t>
      </w:r>
      <w:r w:rsidRPr="002F4033">
        <w:rPr>
          <w:rFonts w:ascii="Times New Roman" w:hAnsi="Times New Roman"/>
          <w:spacing w:val="-2"/>
          <w:sz w:val="24"/>
          <w:szCs w:val="24"/>
        </w:rPr>
        <w:t xml:space="preserve">2 и </w:t>
      </w:r>
      <w:r w:rsidR="00033CCC">
        <w:rPr>
          <w:rFonts w:ascii="Times New Roman" w:hAnsi="Times New Roman"/>
          <w:spacing w:val="-2"/>
          <w:sz w:val="24"/>
          <w:szCs w:val="24"/>
        </w:rPr>
        <w:t>11.</w:t>
      </w:r>
      <w:bookmarkStart w:id="11" w:name="_GoBack"/>
      <w:bookmarkEnd w:id="11"/>
      <w:r w:rsidRPr="002F4033">
        <w:rPr>
          <w:rFonts w:ascii="Times New Roman" w:hAnsi="Times New Roman"/>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2850C3E0" w14:textId="77777777" w:rsidR="002F4033" w:rsidRPr="002F4033" w:rsidRDefault="002F4033" w:rsidP="002F4033">
      <w:pPr>
        <w:tabs>
          <w:tab w:val="left" w:pos="1418"/>
        </w:tabs>
        <w:spacing w:after="0" w:line="240" w:lineRule="auto"/>
        <w:jc w:val="both"/>
        <w:rPr>
          <w:rFonts w:ascii="Times New Roman" w:hAnsi="Times New Roman"/>
          <w:color w:val="000000"/>
          <w:sz w:val="24"/>
          <w:szCs w:val="24"/>
        </w:rPr>
      </w:pPr>
    </w:p>
    <w:p w14:paraId="3D773E78" w14:textId="77777777" w:rsidR="002F4033" w:rsidRPr="002F4033" w:rsidRDefault="002F4033" w:rsidP="002F4033">
      <w:pPr>
        <w:numPr>
          <w:ilvl w:val="0"/>
          <w:numId w:val="7"/>
        </w:numPr>
        <w:autoSpaceDE w:val="0"/>
        <w:autoSpaceDN w:val="0"/>
        <w:adjustRightInd w:val="0"/>
        <w:spacing w:after="0" w:line="240" w:lineRule="auto"/>
        <w:ind w:left="0" w:firstLine="0"/>
        <w:jc w:val="center"/>
        <w:rPr>
          <w:rFonts w:ascii="Times New Roman" w:hAnsi="Times New Roman"/>
          <w:sz w:val="24"/>
          <w:szCs w:val="24"/>
        </w:rPr>
      </w:pPr>
      <w:r w:rsidRPr="002F4033">
        <w:rPr>
          <w:rFonts w:ascii="Times New Roman" w:hAnsi="Times New Roman"/>
          <w:sz w:val="24"/>
          <w:szCs w:val="24"/>
        </w:rPr>
        <w:t>Прочие положения</w:t>
      </w:r>
    </w:p>
    <w:p w14:paraId="22A4501F" w14:textId="77777777" w:rsidR="002F4033" w:rsidRPr="002F4033" w:rsidRDefault="002F4033" w:rsidP="002F4033">
      <w:pPr>
        <w:widowControl w:val="0"/>
        <w:autoSpaceDE w:val="0"/>
        <w:autoSpaceDN w:val="0"/>
        <w:adjustRightInd w:val="0"/>
        <w:spacing w:after="0" w:line="240" w:lineRule="auto"/>
        <w:ind w:firstLine="709"/>
        <w:jc w:val="both"/>
        <w:rPr>
          <w:rFonts w:ascii="Times New Roman" w:hAnsi="Times New Roman"/>
          <w:spacing w:val="-2"/>
          <w:sz w:val="24"/>
          <w:szCs w:val="24"/>
        </w:rPr>
      </w:pPr>
      <w:r w:rsidRPr="002F4033">
        <w:rPr>
          <w:rFonts w:ascii="Times New Roman" w:hAnsi="Times New Roman" w:cs="Courier New"/>
          <w:sz w:val="24"/>
          <w:szCs w:val="24"/>
        </w:rPr>
        <w:t xml:space="preserve">12.1. </w:t>
      </w:r>
      <w:r w:rsidRPr="002F4033">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14A27687" w14:textId="77777777" w:rsidR="002F4033" w:rsidRPr="002F4033" w:rsidRDefault="002F4033" w:rsidP="002F4033">
      <w:pPr>
        <w:spacing w:after="0" w:line="240" w:lineRule="auto"/>
        <w:ind w:firstLine="709"/>
        <w:jc w:val="both"/>
        <w:rPr>
          <w:rFonts w:ascii="Times New Roman" w:hAnsi="Times New Roman"/>
          <w:spacing w:val="-2"/>
          <w:sz w:val="24"/>
          <w:szCs w:val="24"/>
        </w:rPr>
      </w:pPr>
      <w:r w:rsidRPr="002F4033">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7A9D489" w14:textId="77777777" w:rsidR="002F4033" w:rsidRPr="002F4033" w:rsidRDefault="002F4033" w:rsidP="002F4033">
      <w:pPr>
        <w:spacing w:after="0" w:line="240" w:lineRule="auto"/>
        <w:ind w:firstLine="709"/>
        <w:jc w:val="both"/>
        <w:rPr>
          <w:rFonts w:ascii="Times New Roman" w:hAnsi="Times New Roman"/>
          <w:spacing w:val="-2"/>
          <w:sz w:val="24"/>
          <w:szCs w:val="24"/>
        </w:rPr>
      </w:pPr>
      <w:r w:rsidRPr="002F4033">
        <w:rPr>
          <w:rFonts w:ascii="Times New Roman" w:hAnsi="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2F4033">
        <w:rPr>
          <w:rFonts w:ascii="Times New Roman" w:hAnsi="Times New Roman"/>
          <w:spacing w:val="-2"/>
          <w:sz w:val="24"/>
          <w:szCs w:val="24"/>
        </w:rPr>
        <w:lastRenderedPageBreak/>
        <w:t>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94B6E27" w14:textId="77777777" w:rsidR="002F4033" w:rsidRPr="002F4033" w:rsidRDefault="002F4033" w:rsidP="002F4033">
      <w:pPr>
        <w:spacing w:after="0" w:line="240" w:lineRule="auto"/>
        <w:ind w:firstLine="709"/>
        <w:jc w:val="both"/>
        <w:rPr>
          <w:rFonts w:ascii="Times New Roman" w:hAnsi="Times New Roman"/>
          <w:spacing w:val="-2"/>
          <w:sz w:val="24"/>
          <w:szCs w:val="24"/>
        </w:rPr>
      </w:pPr>
      <w:r w:rsidRPr="002F4033">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DCD949A" w14:textId="77777777" w:rsidR="002F4033" w:rsidRPr="002F4033" w:rsidRDefault="002F4033" w:rsidP="002F4033">
      <w:pPr>
        <w:spacing w:after="0" w:line="240" w:lineRule="auto"/>
        <w:ind w:firstLine="709"/>
        <w:jc w:val="both"/>
        <w:rPr>
          <w:rFonts w:ascii="Times New Roman" w:hAnsi="Times New Roman"/>
          <w:sz w:val="24"/>
          <w:szCs w:val="24"/>
        </w:rPr>
      </w:pPr>
      <w:r w:rsidRPr="002F4033">
        <w:rPr>
          <w:rFonts w:ascii="Times New Roman" w:hAnsi="Times New Roman"/>
          <w:sz w:val="24"/>
          <w:szCs w:val="24"/>
        </w:rPr>
        <w:t xml:space="preserve">12.2. </w:t>
      </w:r>
      <w:r w:rsidRPr="002F4033">
        <w:rPr>
          <w:rFonts w:ascii="Times New Roman" w:hAnsi="Times New Roman"/>
          <w:spacing w:val="-2"/>
          <w:sz w:val="24"/>
          <w:szCs w:val="24"/>
        </w:rPr>
        <w:t>Корреспонденция считается доставленной Стороне также в случаях, если:</w:t>
      </w:r>
    </w:p>
    <w:p w14:paraId="42CAA7E5" w14:textId="77777777" w:rsidR="002F4033" w:rsidRPr="002F4033" w:rsidRDefault="002F4033" w:rsidP="002F4033">
      <w:pPr>
        <w:spacing w:after="0" w:line="240" w:lineRule="auto"/>
        <w:ind w:firstLine="709"/>
        <w:contextualSpacing/>
        <w:jc w:val="both"/>
        <w:rPr>
          <w:rFonts w:ascii="Times New Roman" w:eastAsia="Calibri" w:hAnsi="Times New Roman"/>
          <w:color w:val="141618"/>
          <w:spacing w:val="-2"/>
          <w:sz w:val="24"/>
          <w:szCs w:val="24"/>
          <w:lang w:eastAsia="en-US"/>
        </w:rPr>
      </w:pPr>
      <w:r w:rsidRPr="002F4033">
        <w:rPr>
          <w:rFonts w:ascii="Times New Roman" w:eastAsia="Calibri" w:hAnsi="Times New Roman"/>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14:paraId="7397CEC2" w14:textId="77777777" w:rsidR="002F4033" w:rsidRPr="002F4033" w:rsidRDefault="002F4033" w:rsidP="002F4033">
      <w:pPr>
        <w:spacing w:after="0" w:line="240" w:lineRule="auto"/>
        <w:ind w:firstLine="709"/>
        <w:contextualSpacing/>
        <w:jc w:val="both"/>
        <w:rPr>
          <w:rFonts w:ascii="Times New Roman" w:eastAsia="Calibri" w:hAnsi="Times New Roman"/>
          <w:color w:val="141618"/>
          <w:spacing w:val="-2"/>
          <w:sz w:val="24"/>
          <w:szCs w:val="24"/>
          <w:lang w:eastAsia="en-US"/>
        </w:rPr>
      </w:pPr>
      <w:r w:rsidRPr="002F4033">
        <w:rPr>
          <w:rFonts w:ascii="Times New Roman" w:eastAsia="Calibri" w:hAnsi="Times New Roman"/>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1E3EF20" w14:textId="77777777" w:rsidR="002F4033" w:rsidRPr="002F4033" w:rsidRDefault="002F4033" w:rsidP="002F4033">
      <w:pPr>
        <w:autoSpaceDE w:val="0"/>
        <w:autoSpaceDN w:val="0"/>
        <w:adjustRightInd w:val="0"/>
        <w:spacing w:after="0" w:line="240" w:lineRule="auto"/>
        <w:ind w:firstLine="709"/>
        <w:jc w:val="both"/>
        <w:rPr>
          <w:rFonts w:ascii="Times New Roman" w:eastAsiaTheme="minorHAnsi" w:hAnsi="Times New Roman"/>
          <w:spacing w:val="-2"/>
          <w:sz w:val="24"/>
          <w:szCs w:val="24"/>
          <w:lang w:eastAsia="en-US"/>
        </w:rPr>
      </w:pPr>
      <w:r w:rsidRPr="002F4033">
        <w:rPr>
          <w:rFonts w:ascii="Times New Roman" w:eastAsiaTheme="minorHAnsi" w:hAnsi="Times New Roman"/>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05961D6" w14:textId="77777777" w:rsidR="002F4033" w:rsidRPr="002F4033" w:rsidRDefault="002F4033" w:rsidP="002F4033">
      <w:pPr>
        <w:autoSpaceDE w:val="0"/>
        <w:autoSpaceDN w:val="0"/>
        <w:adjustRightInd w:val="0"/>
        <w:spacing w:after="0" w:line="240" w:lineRule="auto"/>
        <w:ind w:firstLine="709"/>
        <w:jc w:val="both"/>
        <w:rPr>
          <w:rFonts w:ascii="Times New Roman" w:eastAsiaTheme="minorHAnsi" w:hAnsi="Times New Roman"/>
          <w:iCs/>
          <w:sz w:val="24"/>
          <w:szCs w:val="24"/>
          <w:lang w:eastAsia="en-US"/>
        </w:rPr>
      </w:pPr>
      <w:r w:rsidRPr="002F4033">
        <w:rPr>
          <w:rFonts w:ascii="Times New Roman" w:eastAsiaTheme="minorHAnsi" w:hAnsi="Times New Roman"/>
          <w:iCs/>
          <w:sz w:val="24"/>
          <w:szCs w:val="24"/>
          <w:lang w:eastAsia="en-US"/>
        </w:rPr>
        <w:t>12.3.</w:t>
      </w:r>
      <w:r w:rsidRPr="002F4033">
        <w:rPr>
          <w:rFonts w:ascii="Times New Roman" w:eastAsiaTheme="minorHAnsi" w:hAnsi="Times New Roman"/>
          <w:i/>
          <w:sz w:val="24"/>
          <w:szCs w:val="24"/>
          <w:lang w:eastAsia="en-US"/>
        </w:rPr>
        <w:t xml:space="preserve"> </w:t>
      </w:r>
      <w:r w:rsidRPr="002F4033">
        <w:rPr>
          <w:rFonts w:ascii="Times New Roman" w:eastAsiaTheme="minorHAnsi" w:hAnsi="Times New Roman"/>
          <w:sz w:val="24"/>
          <w:szCs w:val="24"/>
          <w:lang w:eastAsia="en-U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2F4033">
        <w:rPr>
          <w:rFonts w:ascii="Times New Roman" w:eastAsiaTheme="minorHAnsi" w:hAnsi="Times New Roman"/>
          <w:iCs/>
          <w:sz w:val="24"/>
          <w:szCs w:val="24"/>
          <w:lang w:eastAsia="en-US"/>
        </w:rPr>
        <w:t>.</w:t>
      </w:r>
    </w:p>
    <w:p w14:paraId="400B25F6" w14:textId="77777777" w:rsidR="002F4033" w:rsidRPr="002F4033" w:rsidRDefault="002F4033" w:rsidP="002F4033">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2F4033">
        <w:rPr>
          <w:rFonts w:ascii="Times New Roman" w:eastAsiaTheme="minorHAnsi" w:hAnsi="Times New Roman"/>
          <w:sz w:val="24"/>
          <w:szCs w:val="24"/>
          <w:lang w:eastAsia="en-US"/>
        </w:rPr>
        <w:t>12.4. Все приложения к Контракту являются его неотъемной частью.</w:t>
      </w:r>
    </w:p>
    <w:p w14:paraId="06BC1255" w14:textId="77777777" w:rsidR="002F4033" w:rsidRPr="002F4033" w:rsidRDefault="002F4033" w:rsidP="002F4033">
      <w:pPr>
        <w:numPr>
          <w:ilvl w:val="0"/>
          <w:numId w:val="6"/>
        </w:numPr>
        <w:tabs>
          <w:tab w:val="left" w:pos="1418"/>
        </w:tabs>
        <w:autoSpaceDE w:val="0"/>
        <w:autoSpaceDN w:val="0"/>
        <w:adjustRightInd w:val="0"/>
        <w:spacing w:after="0" w:line="240" w:lineRule="auto"/>
        <w:contextualSpacing/>
        <w:jc w:val="both"/>
        <w:rPr>
          <w:rFonts w:ascii="Times New Roman" w:eastAsiaTheme="minorHAnsi" w:hAnsi="Times New Roman"/>
          <w:vanish/>
          <w:sz w:val="24"/>
          <w:szCs w:val="24"/>
          <w:lang w:eastAsia="en-US"/>
        </w:rPr>
      </w:pPr>
    </w:p>
    <w:p w14:paraId="7817F0B0" w14:textId="77777777" w:rsidR="002F4033" w:rsidRPr="002F4033" w:rsidRDefault="002F4033" w:rsidP="002F4033">
      <w:pPr>
        <w:numPr>
          <w:ilvl w:val="0"/>
          <w:numId w:val="6"/>
        </w:numPr>
        <w:tabs>
          <w:tab w:val="left" w:pos="1418"/>
        </w:tabs>
        <w:autoSpaceDE w:val="0"/>
        <w:autoSpaceDN w:val="0"/>
        <w:adjustRightInd w:val="0"/>
        <w:spacing w:after="0" w:line="240" w:lineRule="auto"/>
        <w:contextualSpacing/>
        <w:jc w:val="both"/>
        <w:rPr>
          <w:rFonts w:ascii="Times New Roman" w:eastAsiaTheme="minorHAnsi" w:hAnsi="Times New Roman" w:cstheme="minorBidi"/>
          <w:vanish/>
          <w:sz w:val="24"/>
          <w:szCs w:val="24"/>
          <w:lang w:eastAsia="en-US"/>
        </w:rPr>
      </w:pPr>
    </w:p>
    <w:p w14:paraId="4979776A" w14:textId="77777777" w:rsidR="002F4033" w:rsidRPr="002F4033" w:rsidRDefault="002F4033" w:rsidP="002F4033">
      <w:pPr>
        <w:numPr>
          <w:ilvl w:val="1"/>
          <w:numId w:val="6"/>
        </w:numPr>
        <w:tabs>
          <w:tab w:val="left" w:pos="1418"/>
        </w:tabs>
        <w:autoSpaceDE w:val="0"/>
        <w:autoSpaceDN w:val="0"/>
        <w:adjustRightInd w:val="0"/>
        <w:spacing w:after="0" w:line="240" w:lineRule="auto"/>
        <w:ind w:left="1189"/>
        <w:contextualSpacing/>
        <w:jc w:val="both"/>
        <w:rPr>
          <w:rFonts w:ascii="Times New Roman" w:eastAsiaTheme="minorHAnsi" w:hAnsi="Times New Roman"/>
          <w:sz w:val="24"/>
          <w:szCs w:val="24"/>
          <w:lang w:eastAsia="en-US"/>
        </w:rPr>
      </w:pPr>
      <w:r w:rsidRPr="002F4033">
        <w:rPr>
          <w:rFonts w:ascii="Times New Roman" w:eastAsiaTheme="minorHAnsi" w:hAnsi="Times New Roman"/>
          <w:sz w:val="24"/>
          <w:szCs w:val="24"/>
          <w:lang w:eastAsia="en-US"/>
        </w:rPr>
        <w:t>К Контракту прилагаются: Спецификация (Приложение №1).</w:t>
      </w:r>
    </w:p>
    <w:p w14:paraId="53E6F180" w14:textId="77777777" w:rsidR="002F4033" w:rsidRPr="002F4033" w:rsidRDefault="002F4033" w:rsidP="002F4033">
      <w:pPr>
        <w:numPr>
          <w:ilvl w:val="1"/>
          <w:numId w:val="6"/>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sz w:val="24"/>
          <w:szCs w:val="24"/>
          <w:lang w:eastAsia="en-US"/>
        </w:rPr>
      </w:pPr>
      <w:r w:rsidRPr="002F4033">
        <w:rPr>
          <w:rFonts w:ascii="Times New Roman" w:eastAsiaTheme="minorHAnsi" w:hAnsi="Times New Roman"/>
          <w:sz w:val="24"/>
          <w:szCs w:val="24"/>
          <w:lang w:eastAsia="en-U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DCBAD17" w14:textId="77777777" w:rsidR="002F4033" w:rsidRPr="002F4033" w:rsidRDefault="002F4033" w:rsidP="002F4033">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2F4033">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9BC3347" w14:textId="77777777" w:rsidR="002F4033" w:rsidRPr="002F4033" w:rsidRDefault="002F4033" w:rsidP="002F4033">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2F4033">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2F4033">
        <w:rPr>
          <w:rFonts w:ascii="Times New Roman" w:hAnsi="Times New Roman"/>
          <w:sz w:val="24"/>
          <w:szCs w:val="24"/>
        </w:rPr>
        <w:t>при уменьшении</w:t>
      </w:r>
      <w:proofErr w:type="gramEnd"/>
      <w:r w:rsidRPr="002F4033">
        <w:rPr>
          <w:rFonts w:ascii="Times New Roman" w:hAnsi="Times New Roman"/>
          <w:sz w:val="24"/>
          <w:szCs w:val="24"/>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4082885" w14:textId="77777777" w:rsidR="002F4033" w:rsidRPr="002F4033" w:rsidRDefault="002F4033" w:rsidP="002F4033">
      <w:pPr>
        <w:numPr>
          <w:ilvl w:val="1"/>
          <w:numId w:val="6"/>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sz w:val="24"/>
          <w:szCs w:val="24"/>
          <w:lang w:eastAsia="en-US"/>
        </w:rPr>
      </w:pPr>
      <w:r w:rsidRPr="002F4033">
        <w:rPr>
          <w:rFonts w:ascii="Times New Roman" w:eastAsiaTheme="minorHAnsi" w:hAnsi="Times New Roman"/>
          <w:sz w:val="24"/>
          <w:szCs w:val="24"/>
          <w:lang w:eastAsia="en-US"/>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8076E93" w14:textId="77777777" w:rsidR="002F4033" w:rsidRPr="002F4033" w:rsidRDefault="002F4033" w:rsidP="002F4033">
      <w:pPr>
        <w:numPr>
          <w:ilvl w:val="1"/>
          <w:numId w:val="6"/>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sz w:val="24"/>
          <w:szCs w:val="24"/>
          <w:lang w:eastAsia="en-US"/>
        </w:rPr>
      </w:pPr>
      <w:r w:rsidRPr="002F4033">
        <w:rPr>
          <w:rFonts w:ascii="Times New Roman" w:eastAsiaTheme="minorHAnsi" w:hAnsi="Times New Roman"/>
          <w:sz w:val="24"/>
          <w:szCs w:val="24"/>
          <w:lang w:eastAsia="en-US"/>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029EBC5" w14:textId="77777777" w:rsidR="002F4033" w:rsidRPr="002F4033" w:rsidRDefault="002F4033" w:rsidP="002F4033">
      <w:pPr>
        <w:numPr>
          <w:ilvl w:val="1"/>
          <w:numId w:val="6"/>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sz w:val="24"/>
          <w:szCs w:val="24"/>
          <w:lang w:eastAsia="en-US"/>
        </w:rPr>
      </w:pPr>
      <w:r w:rsidRPr="002F4033">
        <w:rPr>
          <w:rFonts w:ascii="Times New Roman" w:eastAsiaTheme="minorHAnsi" w:hAnsi="Times New Roman"/>
          <w:sz w:val="24"/>
          <w:szCs w:val="24"/>
          <w:lang w:eastAsia="en-US"/>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со </w:t>
      </w:r>
      <w:hyperlink r:id="rId14" w:anchor="sub_146" w:history="1">
        <w:r w:rsidRPr="002F4033">
          <w:rPr>
            <w:rFonts w:ascii="Times New Roman" w:eastAsiaTheme="minorHAnsi" w:hAnsi="Times New Roman"/>
            <w:bCs/>
            <w:color w:val="0000FF"/>
            <w:sz w:val="24"/>
            <w:szCs w:val="24"/>
            <w:u w:val="single"/>
            <w:lang w:eastAsia="en-US"/>
          </w:rPr>
          <w:t xml:space="preserve"> статьей 14</w:t>
        </w:r>
      </w:hyperlink>
      <w:r w:rsidRPr="002F4033">
        <w:rPr>
          <w:rFonts w:ascii="Times New Roman" w:eastAsiaTheme="minorHAnsi" w:hAnsi="Times New Roman"/>
          <w:sz w:val="24"/>
          <w:szCs w:val="24"/>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346D3D5" w14:textId="77777777" w:rsidR="002F4033" w:rsidRPr="002F4033" w:rsidRDefault="002F4033" w:rsidP="002F4033">
      <w:pPr>
        <w:numPr>
          <w:ilvl w:val="1"/>
          <w:numId w:val="6"/>
        </w:numPr>
        <w:tabs>
          <w:tab w:val="left" w:pos="1418"/>
        </w:tabs>
        <w:autoSpaceDE w:val="0"/>
        <w:autoSpaceDN w:val="0"/>
        <w:adjustRightInd w:val="0"/>
        <w:spacing w:after="0" w:line="240" w:lineRule="auto"/>
        <w:ind w:left="0" w:firstLine="709"/>
        <w:contextualSpacing/>
        <w:jc w:val="both"/>
        <w:rPr>
          <w:rFonts w:ascii="Times New Roman" w:eastAsiaTheme="minorHAnsi" w:hAnsi="Times New Roman"/>
          <w:sz w:val="24"/>
          <w:szCs w:val="24"/>
          <w:lang w:eastAsia="en-US"/>
        </w:rPr>
      </w:pPr>
      <w:r w:rsidRPr="002F4033">
        <w:rPr>
          <w:rFonts w:ascii="Times New Roman" w:eastAsiaTheme="minorHAnsi" w:hAnsi="Times New Roman"/>
          <w:sz w:val="24"/>
          <w:szCs w:val="24"/>
          <w:lang w:eastAsia="en-US"/>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F398876" w14:textId="77777777" w:rsidR="002F4033" w:rsidRPr="002F4033" w:rsidRDefault="002F4033" w:rsidP="002F4033">
      <w:pPr>
        <w:autoSpaceDE w:val="0"/>
        <w:autoSpaceDN w:val="0"/>
        <w:adjustRightInd w:val="0"/>
        <w:spacing w:after="0" w:line="240" w:lineRule="auto"/>
        <w:jc w:val="center"/>
        <w:outlineLvl w:val="0"/>
        <w:rPr>
          <w:rFonts w:ascii="Times New Roman" w:hAnsi="Times New Roman"/>
          <w:sz w:val="24"/>
          <w:szCs w:val="24"/>
        </w:rPr>
      </w:pPr>
    </w:p>
    <w:p w14:paraId="5D352142" w14:textId="77777777" w:rsidR="002F4033" w:rsidRPr="002F4033" w:rsidRDefault="002F4033" w:rsidP="002F4033">
      <w:pPr>
        <w:autoSpaceDE w:val="0"/>
        <w:autoSpaceDN w:val="0"/>
        <w:adjustRightInd w:val="0"/>
        <w:spacing w:after="0" w:line="240" w:lineRule="auto"/>
        <w:jc w:val="center"/>
        <w:outlineLvl w:val="0"/>
        <w:rPr>
          <w:rFonts w:ascii="Times New Roman" w:hAnsi="Times New Roman"/>
          <w:sz w:val="24"/>
          <w:szCs w:val="24"/>
        </w:rPr>
      </w:pPr>
      <w:r w:rsidRPr="002F4033">
        <w:rPr>
          <w:rFonts w:ascii="Times New Roman" w:hAnsi="Times New Roman"/>
          <w:sz w:val="24"/>
          <w:szCs w:val="24"/>
        </w:rPr>
        <w:t>X</w:t>
      </w:r>
      <w:r w:rsidRPr="002F4033">
        <w:rPr>
          <w:rFonts w:ascii="Times New Roman" w:hAnsi="Times New Roman"/>
          <w:sz w:val="24"/>
          <w:szCs w:val="24"/>
          <w:lang w:val="en-US"/>
        </w:rPr>
        <w:t>III</w:t>
      </w:r>
      <w:r w:rsidRPr="002F4033">
        <w:rPr>
          <w:rFonts w:ascii="Times New Roman" w:hAnsi="Times New Roman"/>
          <w:sz w:val="24"/>
          <w:szCs w:val="24"/>
        </w:rPr>
        <w:t>. Адреса и банковские реквизиты Сторон</w:t>
      </w:r>
    </w:p>
    <w:p w14:paraId="61B29E5B" w14:textId="77777777" w:rsidR="001E0EA0" w:rsidRDefault="001E0EA0" w:rsidP="001E0EA0">
      <w:pPr>
        <w:autoSpaceDE w:val="0"/>
        <w:autoSpaceDN w:val="0"/>
        <w:adjustRightInd w:val="0"/>
        <w:spacing w:after="0" w:line="240" w:lineRule="auto"/>
        <w:jc w:val="center"/>
        <w:outlineLvl w:val="0"/>
        <w:rPr>
          <w:rFonts w:ascii="Times New Roman" w:hAnsi="Times New Roman"/>
          <w:sz w:val="24"/>
          <w:szCs w:val="24"/>
        </w:rPr>
      </w:pPr>
    </w:p>
    <w:tbl>
      <w:tblPr>
        <w:tblW w:w="0" w:type="auto"/>
        <w:tblLook w:val="04A0" w:firstRow="1" w:lastRow="0" w:firstColumn="1" w:lastColumn="0" w:noHBand="0" w:noVBand="1"/>
      </w:tblPr>
      <w:tblGrid>
        <w:gridCol w:w="4677"/>
        <w:gridCol w:w="4678"/>
      </w:tblGrid>
      <w:tr w:rsidR="001E0EA0" w14:paraId="673BA8F0" w14:textId="77777777" w:rsidTr="008A2EF6">
        <w:tc>
          <w:tcPr>
            <w:tcW w:w="4785"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786"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8A2EF6">
        <w:tc>
          <w:tcPr>
            <w:tcW w:w="4785"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31B3CFF3" w14:textId="316145A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w:t>
            </w:r>
            <w:r w:rsidR="001C1A34">
              <w:rPr>
                <w:rFonts w:ascii="Times New Roman" w:hAnsi="Times New Roman"/>
                <w:sz w:val="24"/>
                <w:szCs w:val="24"/>
              </w:rPr>
              <w:t>ОКЦ № 2 СибГУ</w:t>
            </w:r>
            <w:r w:rsidRPr="008A2EF6">
              <w:rPr>
                <w:rFonts w:ascii="Times New Roman" w:hAnsi="Times New Roman"/>
                <w:sz w:val="24"/>
                <w:szCs w:val="24"/>
              </w:rPr>
              <w:t xml:space="preserve"> БАНКА РОССИИ//УФК по Алтайскому краю </w:t>
            </w:r>
          </w:p>
          <w:p w14:paraId="5A3D5C5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г. Барнаул</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1ABE26CD"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0BE349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1342130A" w14:textId="77777777" w:rsidR="001E0EA0" w:rsidRPr="008A2EF6" w:rsidRDefault="001E0EA0" w:rsidP="00745585">
            <w:pPr>
              <w:spacing w:after="0" w:line="240" w:lineRule="auto"/>
              <w:rPr>
                <w:rFonts w:ascii="Times New Roman" w:hAnsi="Times New Roman"/>
                <w:sz w:val="24"/>
                <w:szCs w:val="24"/>
              </w:rPr>
            </w:pPr>
          </w:p>
        </w:tc>
        <w:tc>
          <w:tcPr>
            <w:tcW w:w="4786"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004D46FA" w:rsidR="001E0EA0" w:rsidRDefault="001E0EA0">
            <w:pPr>
              <w:autoSpaceDE w:val="0"/>
              <w:autoSpaceDN w:val="0"/>
              <w:adjustRightInd w:val="0"/>
              <w:spacing w:after="0" w:line="240" w:lineRule="auto"/>
              <w:jc w:val="both"/>
              <w:outlineLvl w:val="0"/>
              <w:rPr>
                <w:rFonts w:ascii="Times New Roman" w:hAnsi="Times New Roman"/>
                <w:sz w:val="24"/>
                <w:szCs w:val="24"/>
              </w:rPr>
            </w:pPr>
          </w:p>
          <w:p w14:paraId="2FA885F1" w14:textId="6F272CF7"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4CF4F3B8" w14:textId="6C36BA93"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0AA0865A" w14:textId="4B4EE25E"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2C4F086A" w14:textId="6F02A34C"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533F7DD0" w14:textId="45CA8149"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04CE9681" w14:textId="04708332"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6B65CEB5" w14:textId="3BB7E2C6" w:rsidR="00745585" w:rsidRDefault="00745585">
            <w:pPr>
              <w:autoSpaceDE w:val="0"/>
              <w:autoSpaceDN w:val="0"/>
              <w:adjustRightInd w:val="0"/>
              <w:spacing w:after="0" w:line="240" w:lineRule="auto"/>
              <w:jc w:val="both"/>
              <w:outlineLvl w:val="0"/>
              <w:rPr>
                <w:rFonts w:ascii="Times New Roman" w:hAnsi="Times New Roman"/>
                <w:sz w:val="24"/>
                <w:szCs w:val="24"/>
              </w:rPr>
            </w:pPr>
          </w:p>
          <w:p w14:paraId="1883AADC" w14:textId="77777777" w:rsidR="00745585" w:rsidRPr="008A2EF6" w:rsidRDefault="00745585">
            <w:pPr>
              <w:autoSpaceDE w:val="0"/>
              <w:autoSpaceDN w:val="0"/>
              <w:adjustRightInd w:val="0"/>
              <w:spacing w:after="0" w:line="240" w:lineRule="auto"/>
              <w:jc w:val="both"/>
              <w:outlineLvl w:val="0"/>
              <w:rPr>
                <w:rFonts w:ascii="Times New Roman" w:hAnsi="Times New Roman"/>
                <w:sz w:val="24"/>
                <w:szCs w:val="24"/>
              </w:rPr>
            </w:pPr>
          </w:p>
          <w:p w14:paraId="5019AFE3"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3C248D91" w14:textId="77777777" w:rsidR="001E0EA0" w:rsidRDefault="001E0EA0" w:rsidP="00745585">
            <w:pPr>
              <w:spacing w:after="0" w:line="240" w:lineRule="auto"/>
              <w:rPr>
                <w:rFonts w:ascii="Times New Roman" w:hAnsi="Times New Roman"/>
                <w:sz w:val="24"/>
                <w:szCs w:val="24"/>
              </w:rPr>
            </w:pPr>
          </w:p>
          <w:p w14:paraId="5E282FB6" w14:textId="49EDA01E" w:rsidR="00745585" w:rsidRPr="008A2EF6" w:rsidRDefault="00745585" w:rsidP="00745585">
            <w:pPr>
              <w:spacing w:after="0" w:line="240" w:lineRule="auto"/>
              <w:rPr>
                <w:rFonts w:ascii="Times New Roman" w:hAnsi="Times New Roman"/>
                <w:sz w:val="24"/>
                <w:szCs w:val="24"/>
              </w:rPr>
            </w:pPr>
          </w:p>
        </w:tc>
      </w:tr>
    </w:tbl>
    <w:p w14:paraId="0214DFE0" w14:textId="78FA2F00" w:rsidR="00745585" w:rsidRDefault="00745585" w:rsidP="001E0EA0">
      <w:pPr>
        <w:spacing w:after="0" w:line="240" w:lineRule="auto"/>
        <w:jc w:val="right"/>
        <w:rPr>
          <w:rFonts w:ascii="Times New Roman" w:hAnsi="Times New Roman"/>
          <w:sz w:val="24"/>
          <w:szCs w:val="24"/>
        </w:rPr>
      </w:pPr>
    </w:p>
    <w:p w14:paraId="30EA1441" w14:textId="1F17C1D4" w:rsidR="005223B8" w:rsidRDefault="005223B8" w:rsidP="001E0EA0">
      <w:pPr>
        <w:spacing w:after="0" w:line="240" w:lineRule="auto"/>
        <w:jc w:val="right"/>
        <w:rPr>
          <w:rFonts w:ascii="Times New Roman" w:hAnsi="Times New Roman"/>
          <w:sz w:val="24"/>
          <w:szCs w:val="24"/>
        </w:rPr>
      </w:pPr>
    </w:p>
    <w:p w14:paraId="6D73AF0A" w14:textId="0A0F0859" w:rsidR="005223B8" w:rsidRDefault="005223B8" w:rsidP="001E0EA0">
      <w:pPr>
        <w:spacing w:after="0" w:line="240" w:lineRule="auto"/>
        <w:jc w:val="right"/>
        <w:rPr>
          <w:rFonts w:ascii="Times New Roman" w:hAnsi="Times New Roman"/>
          <w:sz w:val="24"/>
          <w:szCs w:val="24"/>
        </w:rPr>
      </w:pPr>
    </w:p>
    <w:p w14:paraId="7DBFFF97" w14:textId="77777777" w:rsidR="005223B8" w:rsidRDefault="005223B8" w:rsidP="001E0EA0">
      <w:pPr>
        <w:spacing w:after="0" w:line="240" w:lineRule="auto"/>
        <w:jc w:val="right"/>
        <w:rPr>
          <w:rFonts w:ascii="Times New Roman" w:hAnsi="Times New Roman"/>
          <w:sz w:val="24"/>
          <w:szCs w:val="24"/>
        </w:rPr>
      </w:pPr>
    </w:p>
    <w:p w14:paraId="4778CC95" w14:textId="77777777" w:rsidR="00745585" w:rsidRDefault="00745585" w:rsidP="001E0EA0">
      <w:pPr>
        <w:spacing w:after="0" w:line="240" w:lineRule="auto"/>
        <w:jc w:val="right"/>
        <w:rPr>
          <w:rFonts w:ascii="Times New Roman" w:hAnsi="Times New Roman"/>
          <w:sz w:val="24"/>
          <w:szCs w:val="24"/>
        </w:rPr>
      </w:pPr>
    </w:p>
    <w:p w14:paraId="091EC14F" w14:textId="77777777" w:rsidR="00E07CBE" w:rsidRDefault="00E07CBE" w:rsidP="001E0EA0">
      <w:pPr>
        <w:spacing w:after="0" w:line="240" w:lineRule="auto"/>
        <w:jc w:val="right"/>
        <w:rPr>
          <w:rFonts w:ascii="Times New Roman" w:hAnsi="Times New Roman"/>
          <w:sz w:val="24"/>
          <w:szCs w:val="24"/>
        </w:rPr>
      </w:pPr>
    </w:p>
    <w:p w14:paraId="720872F1" w14:textId="77777777" w:rsidR="00E07CBE" w:rsidRDefault="00E07CBE" w:rsidP="001E0EA0">
      <w:pPr>
        <w:spacing w:after="0" w:line="240" w:lineRule="auto"/>
        <w:jc w:val="right"/>
        <w:rPr>
          <w:rFonts w:ascii="Times New Roman" w:hAnsi="Times New Roman"/>
          <w:sz w:val="24"/>
          <w:szCs w:val="24"/>
        </w:rPr>
      </w:pPr>
    </w:p>
    <w:p w14:paraId="185191EA" w14:textId="77777777" w:rsidR="00E07CBE" w:rsidRDefault="00E07CBE" w:rsidP="001E0EA0">
      <w:pPr>
        <w:spacing w:after="0" w:line="240" w:lineRule="auto"/>
        <w:jc w:val="right"/>
        <w:rPr>
          <w:rFonts w:ascii="Times New Roman" w:hAnsi="Times New Roman"/>
          <w:sz w:val="24"/>
          <w:szCs w:val="24"/>
        </w:rPr>
      </w:pPr>
    </w:p>
    <w:p w14:paraId="15A02612" w14:textId="77777777" w:rsidR="00E07CBE" w:rsidRDefault="00E07CBE" w:rsidP="001E0EA0">
      <w:pPr>
        <w:spacing w:after="0" w:line="240" w:lineRule="auto"/>
        <w:jc w:val="right"/>
        <w:rPr>
          <w:rFonts w:ascii="Times New Roman" w:hAnsi="Times New Roman"/>
          <w:sz w:val="24"/>
          <w:szCs w:val="24"/>
        </w:rPr>
      </w:pPr>
    </w:p>
    <w:p w14:paraId="49F9EA99" w14:textId="77777777" w:rsidR="00E07CBE" w:rsidRDefault="00E07CBE" w:rsidP="001E0EA0">
      <w:pPr>
        <w:spacing w:after="0" w:line="240" w:lineRule="auto"/>
        <w:jc w:val="right"/>
        <w:rPr>
          <w:rFonts w:ascii="Times New Roman" w:hAnsi="Times New Roman"/>
          <w:sz w:val="24"/>
          <w:szCs w:val="24"/>
        </w:rPr>
      </w:pPr>
    </w:p>
    <w:p w14:paraId="74F156C6" w14:textId="77777777" w:rsidR="00E07CBE" w:rsidRDefault="00E07CBE" w:rsidP="001E0EA0">
      <w:pPr>
        <w:spacing w:after="0" w:line="240" w:lineRule="auto"/>
        <w:jc w:val="right"/>
        <w:rPr>
          <w:rFonts w:ascii="Times New Roman" w:hAnsi="Times New Roman"/>
          <w:sz w:val="24"/>
          <w:szCs w:val="24"/>
        </w:rPr>
      </w:pPr>
    </w:p>
    <w:p w14:paraId="73BF3295" w14:textId="77777777" w:rsidR="00E07CBE" w:rsidRDefault="00E07CBE" w:rsidP="001E0EA0">
      <w:pPr>
        <w:spacing w:after="0" w:line="240" w:lineRule="auto"/>
        <w:jc w:val="right"/>
        <w:rPr>
          <w:rFonts w:ascii="Times New Roman" w:hAnsi="Times New Roman"/>
          <w:sz w:val="24"/>
          <w:szCs w:val="24"/>
        </w:rPr>
      </w:pPr>
    </w:p>
    <w:p w14:paraId="082825FA" w14:textId="77777777" w:rsidR="00E07CBE" w:rsidRDefault="00E07CBE" w:rsidP="001E0EA0">
      <w:pPr>
        <w:spacing w:after="0" w:line="240" w:lineRule="auto"/>
        <w:jc w:val="right"/>
        <w:rPr>
          <w:rFonts w:ascii="Times New Roman" w:hAnsi="Times New Roman"/>
          <w:sz w:val="24"/>
          <w:szCs w:val="24"/>
        </w:rPr>
      </w:pPr>
    </w:p>
    <w:p w14:paraId="15FE91CA" w14:textId="77777777" w:rsidR="00E07CBE" w:rsidRDefault="00E07CBE" w:rsidP="001E0EA0">
      <w:pPr>
        <w:spacing w:after="0" w:line="240" w:lineRule="auto"/>
        <w:jc w:val="right"/>
        <w:rPr>
          <w:rFonts w:ascii="Times New Roman" w:hAnsi="Times New Roman"/>
          <w:sz w:val="24"/>
          <w:szCs w:val="24"/>
        </w:rPr>
      </w:pPr>
    </w:p>
    <w:p w14:paraId="43217115" w14:textId="77777777" w:rsidR="00E07CBE" w:rsidRDefault="00E07CBE" w:rsidP="001E0EA0">
      <w:pPr>
        <w:spacing w:after="0" w:line="240" w:lineRule="auto"/>
        <w:jc w:val="right"/>
        <w:rPr>
          <w:rFonts w:ascii="Times New Roman" w:hAnsi="Times New Roman"/>
          <w:sz w:val="24"/>
          <w:szCs w:val="24"/>
        </w:rPr>
      </w:pPr>
    </w:p>
    <w:p w14:paraId="019FE9FD" w14:textId="77777777" w:rsidR="00E07CBE" w:rsidRDefault="00E07CBE" w:rsidP="001E0EA0">
      <w:pPr>
        <w:spacing w:after="0" w:line="240" w:lineRule="auto"/>
        <w:jc w:val="right"/>
        <w:rPr>
          <w:rFonts w:ascii="Times New Roman" w:hAnsi="Times New Roman"/>
          <w:sz w:val="24"/>
          <w:szCs w:val="24"/>
        </w:rPr>
      </w:pPr>
    </w:p>
    <w:p w14:paraId="2D56D684" w14:textId="77777777" w:rsidR="00E07CBE" w:rsidRDefault="00E07CBE" w:rsidP="001E0EA0">
      <w:pPr>
        <w:spacing w:after="0" w:line="240" w:lineRule="auto"/>
        <w:jc w:val="right"/>
        <w:rPr>
          <w:rFonts w:ascii="Times New Roman" w:hAnsi="Times New Roman"/>
          <w:sz w:val="24"/>
          <w:szCs w:val="24"/>
        </w:rPr>
      </w:pPr>
    </w:p>
    <w:p w14:paraId="2D627D0F" w14:textId="77777777" w:rsidR="00E07CBE" w:rsidRDefault="00E07CBE" w:rsidP="001E0EA0">
      <w:pPr>
        <w:spacing w:after="0" w:line="240" w:lineRule="auto"/>
        <w:jc w:val="right"/>
        <w:rPr>
          <w:rFonts w:ascii="Times New Roman" w:hAnsi="Times New Roman"/>
          <w:sz w:val="24"/>
          <w:szCs w:val="24"/>
        </w:rPr>
      </w:pPr>
    </w:p>
    <w:p w14:paraId="4446D7D6" w14:textId="77777777" w:rsidR="00E07CBE" w:rsidRDefault="00E07CBE" w:rsidP="001E0EA0">
      <w:pPr>
        <w:spacing w:after="0" w:line="240" w:lineRule="auto"/>
        <w:jc w:val="right"/>
        <w:rPr>
          <w:rFonts w:ascii="Times New Roman" w:hAnsi="Times New Roman"/>
          <w:sz w:val="24"/>
          <w:szCs w:val="24"/>
        </w:rPr>
      </w:pPr>
    </w:p>
    <w:p w14:paraId="781A8381" w14:textId="77777777" w:rsidR="00E07CBE" w:rsidRDefault="00E07CBE" w:rsidP="001E0EA0">
      <w:pPr>
        <w:spacing w:after="0" w:line="240" w:lineRule="auto"/>
        <w:jc w:val="right"/>
        <w:rPr>
          <w:rFonts w:ascii="Times New Roman" w:hAnsi="Times New Roman"/>
          <w:sz w:val="24"/>
          <w:szCs w:val="24"/>
        </w:rPr>
      </w:pPr>
    </w:p>
    <w:p w14:paraId="5BCF3E22" w14:textId="77777777" w:rsidR="00E07CBE" w:rsidRDefault="00E07CBE" w:rsidP="001E0EA0">
      <w:pPr>
        <w:spacing w:after="0" w:line="240" w:lineRule="auto"/>
        <w:jc w:val="right"/>
        <w:rPr>
          <w:rFonts w:ascii="Times New Roman" w:hAnsi="Times New Roman"/>
          <w:sz w:val="24"/>
          <w:szCs w:val="24"/>
        </w:rPr>
      </w:pPr>
    </w:p>
    <w:p w14:paraId="746FD10C" w14:textId="77777777" w:rsidR="00E07CBE" w:rsidRDefault="00E07CBE" w:rsidP="001E0EA0">
      <w:pPr>
        <w:spacing w:after="0" w:line="240" w:lineRule="auto"/>
        <w:jc w:val="right"/>
        <w:rPr>
          <w:rFonts w:ascii="Times New Roman" w:hAnsi="Times New Roman"/>
          <w:sz w:val="24"/>
          <w:szCs w:val="24"/>
        </w:rPr>
      </w:pPr>
    </w:p>
    <w:p w14:paraId="061FA650" w14:textId="77777777" w:rsidR="00E07CBE" w:rsidRDefault="00E07CBE" w:rsidP="001E0EA0">
      <w:pPr>
        <w:spacing w:after="0" w:line="240" w:lineRule="auto"/>
        <w:jc w:val="right"/>
        <w:rPr>
          <w:rFonts w:ascii="Times New Roman" w:hAnsi="Times New Roman"/>
          <w:sz w:val="24"/>
          <w:szCs w:val="24"/>
        </w:rPr>
      </w:pPr>
    </w:p>
    <w:p w14:paraId="16933332" w14:textId="00B3A0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2F0169D3"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w:t>
      </w:r>
      <w:r w:rsidR="00745585">
        <w:rPr>
          <w:rFonts w:ascii="Times New Roman" w:hAnsi="Times New Roman"/>
          <w:sz w:val="24"/>
          <w:szCs w:val="24"/>
        </w:rPr>
        <w:t>6</w:t>
      </w:r>
      <w:r w:rsidRPr="008A2EF6">
        <w:rPr>
          <w:rFonts w:ascii="Times New Roman" w:hAnsi="Times New Roman"/>
          <w:sz w:val="24"/>
          <w:szCs w:val="24"/>
        </w:rPr>
        <w:t xml:space="preserve">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190B3AA4" w14:textId="57529687" w:rsidR="008A2EF6" w:rsidRPr="004D1996" w:rsidRDefault="008A2EF6" w:rsidP="00745585">
            <w:pPr>
              <w:spacing w:after="0" w:line="240" w:lineRule="auto"/>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5ED55814" w14:textId="31A6EE6C" w:rsidR="008A2EF6" w:rsidRPr="004D1996" w:rsidRDefault="008A2EF6" w:rsidP="00745585">
            <w:pPr>
              <w:spacing w:after="0" w:line="240" w:lineRule="auto"/>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440A6BE7"/>
    <w:multiLevelType w:val="hybridMultilevel"/>
    <w:tmpl w:val="8CC4D74E"/>
    <w:lvl w:ilvl="0" w:tplc="6DD295A0">
      <w:start w:val="12"/>
      <w:numFmt w:val="upperRoman"/>
      <w:lvlText w:val="%1."/>
      <w:lvlJc w:val="left"/>
      <w:pPr>
        <w:ind w:left="5682"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33CCC"/>
    <w:rsid w:val="000C57DA"/>
    <w:rsid w:val="000D412E"/>
    <w:rsid w:val="001C1A34"/>
    <w:rsid w:val="001E0EA0"/>
    <w:rsid w:val="00224EB9"/>
    <w:rsid w:val="00260D15"/>
    <w:rsid w:val="002F4033"/>
    <w:rsid w:val="003D0652"/>
    <w:rsid w:val="00451045"/>
    <w:rsid w:val="004D1996"/>
    <w:rsid w:val="005223B8"/>
    <w:rsid w:val="00547DC0"/>
    <w:rsid w:val="0070671B"/>
    <w:rsid w:val="00745585"/>
    <w:rsid w:val="008A2EBC"/>
    <w:rsid w:val="008A2EF6"/>
    <w:rsid w:val="008D08B3"/>
    <w:rsid w:val="008F27D8"/>
    <w:rsid w:val="00925DB1"/>
    <w:rsid w:val="009967A3"/>
    <w:rsid w:val="009D7631"/>
    <w:rsid w:val="00AC6726"/>
    <w:rsid w:val="00B952FA"/>
    <w:rsid w:val="00C36059"/>
    <w:rsid w:val="00C9130D"/>
    <w:rsid w:val="00CA7EE6"/>
    <w:rsid w:val="00D13388"/>
    <w:rsid w:val="00E07CBE"/>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 w:id="12440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15</Pages>
  <Words>7174</Words>
  <Characters>40897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Подкопаева Елена Геннадьевна</cp:lastModifiedBy>
  <cp:revision>18</cp:revision>
  <cp:lastPrinted>2025-04-03T08:20:00Z</cp:lastPrinted>
  <dcterms:created xsi:type="dcterms:W3CDTF">2025-03-19T05:04:00Z</dcterms:created>
  <dcterms:modified xsi:type="dcterms:W3CDTF">2026-02-27T08:36:00Z</dcterms:modified>
</cp:coreProperties>
</file>